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新郑市</w:t>
      </w:r>
      <w:r>
        <w:rPr>
          <w:rFonts w:ascii="方正小标宋_GBK" w:hAnsi="方正小标宋_GBK" w:eastAsia="方正小标宋_GBK" w:cs="方正小标宋_GBK"/>
          <w:sz w:val="44"/>
          <w:szCs w:val="44"/>
        </w:rPr>
        <w:t>2021—2025</w:t>
      </w:r>
      <w:r>
        <w:rPr>
          <w:rFonts w:hint="eastAsia" w:ascii="方正小标宋_GBK" w:hAnsi="方正小标宋_GBK" w:eastAsia="方正小标宋_GBK" w:cs="方正小标宋_GBK"/>
          <w:sz w:val="44"/>
          <w:szCs w:val="44"/>
        </w:rPr>
        <w:t>年</w:t>
      </w:r>
    </w:p>
    <w:p>
      <w:pPr>
        <w:spacing w:line="7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国家慢性非传染性疾病综合防控示范区</w:t>
      </w:r>
    </w:p>
    <w:p>
      <w:pPr>
        <w:spacing w:line="7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建设五年工作规划</w:t>
      </w:r>
    </w:p>
    <w:p>
      <w:pPr>
        <w:spacing w:line="700" w:lineRule="exact"/>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eastAsia="zh-CN"/>
        </w:rPr>
        <w:t>（征求意见稿）</w:t>
      </w:r>
    </w:p>
    <w:p>
      <w:pPr>
        <w:pStyle w:val="2"/>
      </w:pPr>
    </w:p>
    <w:p>
      <w:pPr>
        <w:spacing w:line="360" w:lineRule="exact"/>
        <w:rPr>
          <w:rFonts w:ascii="仿宋" w:hAnsi="仿宋" w:eastAsia="仿宋" w:cs="仿宋"/>
          <w:sz w:val="44"/>
          <w:szCs w:val="44"/>
          <w:shd w:val="clear" w:color="auto" w:fill="FFFFFF"/>
        </w:rPr>
      </w:pPr>
    </w:p>
    <w:p>
      <w:pPr>
        <w:spacing w:line="560" w:lineRule="exact"/>
        <w:rPr>
          <w:rFonts w:ascii="仿宋_GB2312" w:hAnsi="仿宋" w:eastAsia="仿宋_GB2312" w:cs="仿宋"/>
          <w:color w:val="000000"/>
          <w:sz w:val="32"/>
          <w:szCs w:val="32"/>
          <w:shd w:val="clear" w:color="auto" w:fill="FFFFFF"/>
        </w:rPr>
      </w:pPr>
      <w:r>
        <w:rPr>
          <w:rFonts w:hint="eastAsia" w:ascii="仿宋" w:hAnsi="仿宋" w:eastAsia="仿宋" w:cs="仿宋"/>
          <w:sz w:val="28"/>
          <w:szCs w:val="28"/>
          <w:shd w:val="clear" w:color="auto" w:fill="FFFFFF"/>
        </w:rPr>
        <w:t>　</w:t>
      </w:r>
      <w:r>
        <w:rPr>
          <w:rFonts w:hint="eastAsia" w:ascii="仿宋_GB2312" w:hAnsi="仿宋" w:eastAsia="仿宋_GB2312" w:cs="仿宋"/>
          <w:sz w:val="28"/>
          <w:szCs w:val="28"/>
          <w:shd w:val="clear" w:color="auto" w:fill="FFFFFF"/>
        </w:rPr>
        <w:t>　</w:t>
      </w:r>
      <w:r>
        <w:rPr>
          <w:rFonts w:hint="eastAsia" w:ascii="仿宋_GB2312" w:hAnsi="仿宋" w:eastAsia="仿宋_GB2312" w:cs="仿宋"/>
          <w:sz w:val="32"/>
          <w:szCs w:val="32"/>
          <w:shd w:val="clear" w:color="auto" w:fill="FFFFFF"/>
        </w:rPr>
        <w:t>为认真贯彻落实《中国慢性病防治中长期规划（</w:t>
      </w:r>
      <w:r>
        <w:rPr>
          <w:rFonts w:ascii="仿宋_GB2312" w:hAnsi="仿宋" w:eastAsia="仿宋_GB2312" w:cs="仿宋"/>
          <w:sz w:val="32"/>
          <w:szCs w:val="32"/>
          <w:shd w:val="clear" w:color="auto" w:fill="FFFFFF"/>
        </w:rPr>
        <w:t>2017-2025</w:t>
      </w:r>
      <w:r>
        <w:rPr>
          <w:rFonts w:hint="eastAsia" w:ascii="仿宋_GB2312" w:hAnsi="仿宋" w:eastAsia="仿宋_GB2312" w:cs="仿宋"/>
          <w:sz w:val="32"/>
          <w:szCs w:val="32"/>
          <w:shd w:val="clear" w:color="auto" w:fill="FFFFFF"/>
        </w:rPr>
        <w:t>）》（国办发【</w:t>
      </w:r>
      <w:r>
        <w:rPr>
          <w:rFonts w:ascii="仿宋_GB2312" w:hAnsi="仿宋" w:eastAsia="仿宋_GB2312" w:cs="仿宋"/>
          <w:sz w:val="32"/>
          <w:szCs w:val="32"/>
          <w:shd w:val="clear" w:color="auto" w:fill="FFFFFF"/>
        </w:rPr>
        <w:t>2017</w:t>
      </w:r>
      <w:r>
        <w:rPr>
          <w:rFonts w:hint="eastAsia" w:ascii="仿宋_GB2312" w:hAnsi="仿宋" w:eastAsia="仿宋_GB2312" w:cs="仿宋"/>
          <w:sz w:val="32"/>
          <w:szCs w:val="32"/>
          <w:shd w:val="clear" w:color="auto" w:fill="FFFFFF"/>
        </w:rPr>
        <w:t>】</w:t>
      </w:r>
      <w:r>
        <w:rPr>
          <w:rFonts w:ascii="仿宋_GB2312" w:hAnsi="仿宋" w:eastAsia="仿宋_GB2312" w:cs="仿宋"/>
          <w:sz w:val="32"/>
          <w:szCs w:val="32"/>
          <w:shd w:val="clear" w:color="auto" w:fill="FFFFFF"/>
        </w:rPr>
        <w:t>12</w:t>
      </w:r>
      <w:r>
        <w:rPr>
          <w:rFonts w:hint="eastAsia" w:ascii="仿宋_GB2312" w:hAnsi="仿宋" w:eastAsia="仿宋_GB2312" w:cs="仿宋"/>
          <w:sz w:val="32"/>
          <w:szCs w:val="32"/>
          <w:shd w:val="clear" w:color="auto" w:fill="FFFFFF"/>
        </w:rPr>
        <w:t>号文）、《国家慢性病综合防控示范区建设管理办法》（国卫办疾控发〔</w:t>
      </w:r>
      <w:r>
        <w:rPr>
          <w:rFonts w:ascii="仿宋_GB2312" w:hAnsi="仿宋" w:eastAsia="仿宋_GB2312" w:cs="仿宋"/>
          <w:sz w:val="32"/>
          <w:szCs w:val="32"/>
          <w:shd w:val="clear" w:color="auto" w:fill="FFFFFF"/>
        </w:rPr>
        <w:t>2016</w:t>
      </w:r>
      <w:r>
        <w:rPr>
          <w:rFonts w:hint="eastAsia" w:ascii="仿宋_GB2312" w:hAnsi="仿宋" w:eastAsia="仿宋_GB2312" w:cs="仿宋"/>
          <w:sz w:val="32"/>
          <w:szCs w:val="32"/>
          <w:shd w:val="clear" w:color="auto" w:fill="FFFFFF"/>
        </w:rPr>
        <w:t>〕</w:t>
      </w:r>
      <w:bookmarkStart w:id="0" w:name="_GoBack"/>
      <w:bookmarkEnd w:id="0"/>
      <w:r>
        <w:rPr>
          <w:rFonts w:ascii="仿宋_GB2312" w:hAnsi="仿宋" w:eastAsia="仿宋_GB2312" w:cs="仿宋"/>
          <w:sz w:val="32"/>
          <w:szCs w:val="32"/>
          <w:shd w:val="clear" w:color="auto" w:fill="FFFFFF"/>
        </w:rPr>
        <w:t>44</w:t>
      </w:r>
      <w:r>
        <w:rPr>
          <w:rFonts w:hint="eastAsia" w:ascii="仿宋_GB2312" w:hAnsi="仿宋" w:eastAsia="仿宋_GB2312" w:cs="仿宋"/>
          <w:sz w:val="32"/>
          <w:szCs w:val="32"/>
          <w:shd w:val="clear" w:color="auto" w:fill="FFFFFF"/>
        </w:rPr>
        <w:t>号）等文件精神，持续提高全市人民生活水平，进一步巩固我市</w:t>
      </w:r>
      <w:r>
        <w:rPr>
          <w:rFonts w:hint="eastAsia" w:ascii="仿宋_GB2312" w:hAnsi="仿宋" w:eastAsia="仿宋_GB2312" w:cs="仿宋"/>
          <w:color w:val="000000"/>
          <w:sz w:val="32"/>
          <w:szCs w:val="32"/>
          <w:shd w:val="clear" w:color="auto" w:fill="FFFFFF"/>
        </w:rPr>
        <w:t>国家慢性非传染性疾病综合防控示范区（以下简称慢病示范区）建设成果，按照《国家慢性病综合防控示范区建设指标体系（</w:t>
      </w:r>
      <w:r>
        <w:rPr>
          <w:rFonts w:ascii="仿宋_GB2312" w:hAnsi="仿宋" w:eastAsia="仿宋_GB2312" w:cs="仿宋"/>
          <w:color w:val="000000"/>
          <w:sz w:val="32"/>
          <w:szCs w:val="32"/>
          <w:shd w:val="clear" w:color="auto" w:fill="FFFFFF"/>
        </w:rPr>
        <w:t>2020</w:t>
      </w:r>
      <w:r>
        <w:rPr>
          <w:rFonts w:hint="eastAsia" w:ascii="仿宋_GB2312" w:hAnsi="仿宋" w:eastAsia="仿宋_GB2312" w:cs="仿宋"/>
          <w:color w:val="000000"/>
          <w:sz w:val="32"/>
          <w:szCs w:val="32"/>
          <w:shd w:val="clear" w:color="auto" w:fill="FFFFFF"/>
        </w:rPr>
        <w:t>版）》要求，结合我市实际情况，特制定新郑市</w:t>
      </w:r>
      <w:r>
        <w:rPr>
          <w:rFonts w:ascii="仿宋_GB2312" w:hAnsi="仿宋" w:eastAsia="仿宋_GB2312" w:cs="仿宋"/>
          <w:color w:val="000000"/>
          <w:sz w:val="32"/>
          <w:szCs w:val="32"/>
          <w:shd w:val="clear" w:color="auto" w:fill="FFFFFF"/>
        </w:rPr>
        <w:t>2021-2025</w:t>
      </w:r>
      <w:r>
        <w:rPr>
          <w:rFonts w:hint="eastAsia" w:ascii="仿宋_GB2312" w:hAnsi="仿宋" w:eastAsia="仿宋_GB2312" w:cs="仿宋"/>
          <w:color w:val="000000"/>
          <w:sz w:val="32"/>
          <w:szCs w:val="32"/>
          <w:shd w:val="clear" w:color="auto" w:fill="FFFFFF"/>
        </w:rPr>
        <w:t>年慢病示范区建设五年工作规划如下：</w:t>
      </w:r>
    </w:p>
    <w:p>
      <w:pPr>
        <w:spacing w:line="560" w:lineRule="exac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w:t>
      </w:r>
      <w:r>
        <w:rPr>
          <w:rFonts w:hint="eastAsia" w:ascii="黑体" w:hAnsi="黑体" w:eastAsia="黑体" w:cs="黑体"/>
          <w:color w:val="000000"/>
          <w:sz w:val="32"/>
          <w:szCs w:val="32"/>
          <w:shd w:val="clear" w:color="auto" w:fill="FFFFFF"/>
        </w:rPr>
        <w:t>一、指导思想</w:t>
      </w:r>
    </w:p>
    <w:p>
      <w:pPr>
        <w:spacing w:line="560" w:lineRule="exact"/>
        <w:rPr>
          <w:rFonts w:ascii="仿宋_GB2312" w:hAnsi="仿宋" w:eastAsia="仿宋_GB2312" w:cs="仿宋"/>
          <w:color w:val="000000"/>
          <w:sz w:val="32"/>
          <w:szCs w:val="32"/>
          <w:shd w:val="clear" w:color="auto" w:fill="FFFFFF"/>
        </w:rPr>
      </w:pPr>
      <w:r>
        <w:rPr>
          <w:rFonts w:hint="eastAsia" w:ascii="仿宋" w:hAnsi="仿宋" w:eastAsia="仿宋" w:cs="仿宋"/>
          <w:color w:val="000000"/>
          <w:sz w:val="32"/>
          <w:szCs w:val="32"/>
          <w:shd w:val="clear" w:color="auto" w:fill="FFFFFF"/>
        </w:rPr>
        <w:t>　　</w:t>
      </w:r>
      <w:r>
        <w:rPr>
          <w:rFonts w:hint="eastAsia" w:ascii="仿宋_GB2312" w:hAnsi="仿宋" w:eastAsia="仿宋_GB2312" w:cs="仿宋"/>
          <w:color w:val="000000"/>
          <w:sz w:val="32"/>
          <w:szCs w:val="32"/>
          <w:shd w:val="clear" w:color="auto" w:fill="FFFFFF"/>
        </w:rPr>
        <w:t>随着我国居民老龄化程度日趋严重，心血管疾病、糖尿病、慢性呼吸系统、恶性肿瘤等慢性病严重威胁着人民群众身体健康。为进一步提升慢性病综合防治管理水平，我市紧紧围绕“政府主导、部门协作、动员社会、全民参与”慢病示范区建设基本原则，坚持预防为主、防治结合、中西医并重，发挥医疗卫生服务体系的整体功能，提供全人群生命全周期的慢性病防治管理服务，推进疾病治疗向健康管理模式转变。</w:t>
      </w:r>
    </w:p>
    <w:p>
      <w:pPr>
        <w:spacing w:line="56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rPr>
        <w:t>　　</w:t>
      </w:r>
      <w:r>
        <w:rPr>
          <w:rFonts w:hint="eastAsia" w:ascii="黑体" w:hAnsi="黑体" w:eastAsia="黑体" w:cs="黑体"/>
          <w:color w:val="000000"/>
          <w:kern w:val="0"/>
          <w:sz w:val="32"/>
          <w:szCs w:val="32"/>
        </w:rPr>
        <w:t>二、工作目标</w:t>
      </w:r>
    </w:p>
    <w:p>
      <w:pPr>
        <w:spacing w:line="560" w:lineRule="exact"/>
        <w:rPr>
          <w:rFonts w:ascii="楷体_GB2312" w:hAnsi="仿宋" w:eastAsia="楷体_GB2312" w:cs="仿宋"/>
          <w:color w:val="000000"/>
          <w:kern w:val="0"/>
          <w:sz w:val="32"/>
          <w:szCs w:val="32"/>
        </w:rPr>
      </w:pPr>
      <w:r>
        <w:rPr>
          <w:rFonts w:hint="eastAsia" w:ascii="仿宋" w:hAnsi="仿宋" w:eastAsia="仿宋" w:cs="仿宋"/>
          <w:color w:val="000000"/>
          <w:kern w:val="0"/>
          <w:sz w:val="32"/>
          <w:szCs w:val="32"/>
        </w:rPr>
        <w:t>　　</w:t>
      </w:r>
      <w:r>
        <w:rPr>
          <w:rFonts w:hint="eastAsia" w:ascii="楷体_GB2312" w:hAnsi="楷体" w:eastAsia="楷体_GB2312" w:cs="楷体"/>
          <w:color w:val="000000"/>
          <w:kern w:val="0"/>
          <w:sz w:val="32"/>
          <w:szCs w:val="32"/>
        </w:rPr>
        <w:t>（一）总体要求</w:t>
      </w:r>
    </w:p>
    <w:p>
      <w:pPr>
        <w:spacing w:line="560" w:lineRule="exact"/>
        <w:rPr>
          <w:rFonts w:ascii="仿宋_GB2312" w:hAnsi="仿宋" w:eastAsia="仿宋_GB2312" w:cs="仿宋"/>
          <w:color w:val="000000"/>
          <w:sz w:val="32"/>
          <w:szCs w:val="32"/>
          <w:shd w:val="clear" w:color="auto" w:fill="FFFFFF"/>
        </w:rPr>
      </w:pPr>
      <w:r>
        <w:rPr>
          <w:rFonts w:hint="eastAsia" w:ascii="仿宋" w:hAnsi="仿宋" w:eastAsia="仿宋" w:cs="仿宋"/>
          <w:color w:val="000000"/>
          <w:sz w:val="32"/>
          <w:szCs w:val="32"/>
          <w:shd w:val="clear" w:color="auto" w:fill="FFFFFF"/>
        </w:rPr>
        <w:t>　　</w:t>
      </w:r>
      <w:r>
        <w:rPr>
          <w:rFonts w:hint="eastAsia" w:ascii="仿宋_GB2312" w:hAnsi="仿宋" w:eastAsia="仿宋_GB2312" w:cs="仿宋"/>
          <w:color w:val="000000"/>
          <w:sz w:val="32"/>
          <w:szCs w:val="32"/>
          <w:shd w:val="clear" w:color="auto" w:fill="FFFFFF"/>
        </w:rPr>
        <w:t>以人民健康为中心，坚持政府指导、部门协作、专业机构支持、全社会参与的防控体系，创造和维护健康的社会环境，降低因慢性病造成的过早死亡，有效控制慢性病引起的疾病负担增长，完善慢病示范区动态管理体系。逐步实现慢性病防控与社区文化、精神文明、健康城市、食品安全示范区创建、平安城市、公共服务等领域有机衔接整合，加快推进健康新郑建设，确保五年一阶段的国家慢病示范区复审并顺利通过考核验收。</w:t>
      </w:r>
    </w:p>
    <w:p>
      <w:pPr>
        <w:spacing w:line="560" w:lineRule="exact"/>
        <w:rPr>
          <w:rFonts w:ascii="楷体_GB2312" w:hAnsi="楷体" w:eastAsia="楷体_GB2312" w:cs="楷体"/>
          <w:color w:val="000000"/>
          <w:kern w:val="0"/>
          <w:sz w:val="32"/>
          <w:szCs w:val="32"/>
        </w:rPr>
      </w:pPr>
      <w:r>
        <w:rPr>
          <w:rFonts w:hint="eastAsia" w:ascii="楷体" w:hAnsi="楷体" w:eastAsia="楷体" w:cs="楷体"/>
          <w:color w:val="000000"/>
          <w:kern w:val="0"/>
          <w:sz w:val="32"/>
          <w:szCs w:val="32"/>
        </w:rPr>
        <w:t>　　</w:t>
      </w:r>
      <w:r>
        <w:rPr>
          <w:rFonts w:hint="eastAsia" w:ascii="楷体_GB2312" w:hAnsi="楷体" w:eastAsia="楷体_GB2312" w:cs="楷体"/>
          <w:color w:val="000000"/>
          <w:kern w:val="0"/>
          <w:sz w:val="32"/>
          <w:szCs w:val="32"/>
        </w:rPr>
        <w:t>（二）工作措施</w:t>
      </w:r>
    </w:p>
    <w:p>
      <w:pPr>
        <w:spacing w:line="560" w:lineRule="exact"/>
        <w:rPr>
          <w:rFonts w:eastAsia="仿宋"/>
          <w:color w:val="000000"/>
          <w:sz w:val="32"/>
          <w:szCs w:val="32"/>
        </w:rPr>
      </w:pPr>
      <w:r>
        <w:rPr>
          <w:rFonts w:hint="eastAsia" w:ascii="仿宋" w:hAnsi="仿宋" w:eastAsia="仿宋" w:cs="仿宋"/>
          <w:color w:val="000000"/>
          <w:sz w:val="32"/>
          <w:szCs w:val="32"/>
        </w:rPr>
        <w:t>　　</w:t>
      </w:r>
      <w:r>
        <w:rPr>
          <w:rFonts w:ascii="仿宋_GB2312" w:hAnsi="仿宋" w:eastAsia="仿宋_GB2312" w:cs="仿宋"/>
          <w:color w:val="000000"/>
          <w:sz w:val="32"/>
          <w:szCs w:val="32"/>
          <w:shd w:val="clear" w:color="auto" w:fill="FFFFFF"/>
        </w:rPr>
        <w:t>1.</w:t>
      </w:r>
      <w:r>
        <w:rPr>
          <w:rFonts w:hint="eastAsia" w:ascii="仿宋_GB2312" w:hAnsi="仿宋" w:eastAsia="仿宋_GB2312" w:cs="仿宋"/>
          <w:color w:val="000000"/>
          <w:sz w:val="32"/>
          <w:szCs w:val="32"/>
          <w:shd w:val="clear" w:color="auto" w:fill="FFFFFF"/>
        </w:rPr>
        <w:t>政策完善：进一步完善政府主导的慢性病综合防控协调机制，加强多部门协同配合，统筹各方资源，加大政策保障，在政策制定、组织管理、队伍建设、经费保障等方面给予充分支持，在环境治理、烟草控制、健身场所设施建设等慢性病危险因素控制方面采取有效措施。</w:t>
      </w:r>
      <w:r>
        <w:rPr>
          <w:rFonts w:ascii="仿宋_GB2312" w:hAnsi="仿宋" w:eastAsia="仿宋_GB2312" w:cs="仿宋"/>
          <w:color w:val="000000"/>
          <w:sz w:val="32"/>
          <w:szCs w:val="32"/>
          <w:shd w:val="clear" w:color="auto" w:fill="FFFFFF"/>
        </w:rPr>
        <w:br w:type="textWrapping"/>
      </w:r>
      <w:r>
        <w:rPr>
          <w:rFonts w:hint="eastAsia" w:ascii="仿宋_GB2312" w:hAnsi="仿宋" w:eastAsia="仿宋_GB2312" w:cs="仿宋"/>
          <w:color w:val="000000"/>
          <w:sz w:val="32"/>
          <w:szCs w:val="32"/>
          <w:shd w:val="clear" w:color="auto" w:fill="FFFFFF"/>
        </w:rPr>
        <w:t>　　</w:t>
      </w:r>
      <w:r>
        <w:rPr>
          <w:rFonts w:ascii="仿宋_GB2312" w:hAnsi="仿宋" w:eastAsia="仿宋_GB2312" w:cs="仿宋"/>
          <w:color w:val="000000"/>
          <w:sz w:val="32"/>
          <w:szCs w:val="32"/>
          <w:shd w:val="clear" w:color="auto" w:fill="FFFFFF"/>
        </w:rPr>
        <w:t>2.</w:t>
      </w:r>
      <w:r>
        <w:rPr>
          <w:rFonts w:hint="eastAsia" w:ascii="仿宋_GB2312" w:hAnsi="仿宋" w:eastAsia="仿宋_GB2312" w:cs="仿宋"/>
          <w:color w:val="000000"/>
          <w:sz w:val="32"/>
          <w:szCs w:val="32"/>
          <w:shd w:val="clear" w:color="auto" w:fill="FFFFFF"/>
        </w:rPr>
        <w:t>环境优化：慢病示范区建设与卫生城市、健康城市、森林生态城市建设等紧密结合，建设健康生产生活环境，优化人居环境。加强公共服务设施建设，完善文化、科教、休闲、健身等功能，向家庭和个人就近提供生理、心理和社会方面服务，构建全方位健康支持性环境。</w:t>
      </w:r>
      <w:r>
        <w:rPr>
          <w:rFonts w:ascii="仿宋_GB2312" w:hAnsi="仿宋" w:eastAsia="仿宋_GB2312" w:cs="仿宋"/>
          <w:color w:val="000000"/>
          <w:sz w:val="32"/>
          <w:szCs w:val="32"/>
          <w:shd w:val="clear" w:color="auto" w:fill="FFFFFF"/>
        </w:rPr>
        <w:br w:type="textWrapping"/>
      </w:r>
      <w:r>
        <w:rPr>
          <w:rFonts w:hint="eastAsia" w:ascii="仿宋_GB2312" w:hAnsi="仿宋" w:eastAsia="仿宋_GB2312" w:cs="仿宋"/>
          <w:color w:val="000000"/>
          <w:sz w:val="32"/>
          <w:szCs w:val="32"/>
          <w:shd w:val="clear" w:color="auto" w:fill="FFFFFF"/>
        </w:rPr>
        <w:t>　</w:t>
      </w:r>
      <w:r>
        <w:rPr>
          <w:rFonts w:ascii="仿宋_GB2312" w:hAnsi="仿宋" w:eastAsia="仿宋_GB2312" w:cs="仿宋"/>
          <w:color w:val="000000"/>
          <w:sz w:val="32"/>
          <w:szCs w:val="32"/>
          <w:shd w:val="clear" w:color="auto" w:fill="FFFFFF"/>
        </w:rPr>
        <w:t xml:space="preserve">  3.</w:t>
      </w:r>
      <w:r>
        <w:rPr>
          <w:rFonts w:hint="eastAsia" w:ascii="仿宋_GB2312" w:hAnsi="仿宋" w:eastAsia="仿宋_GB2312" w:cs="仿宋"/>
          <w:color w:val="000000"/>
          <w:sz w:val="32"/>
          <w:szCs w:val="32"/>
          <w:shd w:val="clear" w:color="auto" w:fill="FFFFFF"/>
        </w:rPr>
        <w:t>体系整合：构建与居民健康需求相匹配、体系完整、分工协作、优势互补、上下联动的整合型慢性病综合防控体系，积极打造专业公共卫生机构、二级及以上医院和基层医疗卫生机构“三位一体”的慢性病防控机制，建立信息共享、互联互通机制，推进慢性病防、治、管整体融合发展。</w:t>
      </w:r>
      <w:r>
        <w:rPr>
          <w:rFonts w:ascii="仿宋_GB2312" w:hAnsi="仿宋" w:eastAsia="仿宋_GB2312" w:cs="仿宋"/>
          <w:color w:val="000000"/>
          <w:sz w:val="32"/>
          <w:szCs w:val="32"/>
          <w:shd w:val="clear" w:color="auto" w:fill="FFFFFF"/>
        </w:rPr>
        <w:br w:type="textWrapping"/>
      </w:r>
      <w:r>
        <w:rPr>
          <w:rFonts w:hint="eastAsia" w:ascii="仿宋_GB2312" w:hAnsi="仿宋" w:eastAsia="仿宋_GB2312" w:cs="仿宋"/>
          <w:color w:val="000000"/>
          <w:sz w:val="32"/>
          <w:szCs w:val="32"/>
          <w:shd w:val="clear" w:color="auto" w:fill="FFFFFF"/>
        </w:rPr>
        <w:t>　　</w:t>
      </w:r>
      <w:r>
        <w:rPr>
          <w:rFonts w:ascii="仿宋_GB2312" w:hAnsi="仿宋" w:eastAsia="仿宋_GB2312" w:cs="仿宋"/>
          <w:color w:val="000000"/>
          <w:sz w:val="32"/>
          <w:szCs w:val="32"/>
          <w:shd w:val="clear" w:color="auto" w:fill="FFFFFF"/>
        </w:rPr>
        <w:t xml:space="preserve"> 4.</w:t>
      </w:r>
      <w:r>
        <w:rPr>
          <w:rFonts w:hint="eastAsia" w:ascii="仿宋_GB2312" w:hAnsi="仿宋" w:eastAsia="仿宋_GB2312" w:cs="仿宋"/>
          <w:color w:val="000000"/>
          <w:sz w:val="32"/>
          <w:szCs w:val="32"/>
          <w:shd w:val="clear" w:color="auto" w:fill="FFFFFF"/>
        </w:rPr>
        <w:t>提升管理：提供面向全人群、覆盖生命全周期的慢性病预防、筛查、诊断、治疗、康复全程管理服务，开展健康咨询、风险评估和干预指导等个性化健康干预。以癌症、高血压、糖尿病等为突破口，加强慢性病综合防控，强化早期筛查和早期发现，推进早诊早治工作。提高基本公共卫生服务均等化水平，推进家庭医生签约服务，强化分级诊疗制度建设。</w:t>
      </w:r>
      <w:r>
        <w:rPr>
          <w:rFonts w:ascii="仿宋_GB2312" w:hAnsi="仿宋" w:eastAsia="仿宋_GB2312" w:cs="仿宋"/>
          <w:color w:val="000000"/>
          <w:sz w:val="32"/>
          <w:szCs w:val="32"/>
          <w:shd w:val="clear" w:color="auto" w:fill="FFFFFF"/>
        </w:rPr>
        <w:br w:type="textWrapping"/>
      </w:r>
      <w:r>
        <w:rPr>
          <w:rFonts w:hint="eastAsia" w:ascii="仿宋_GB2312" w:hAnsi="仿宋" w:eastAsia="仿宋_GB2312" w:cs="仿宋"/>
          <w:color w:val="000000"/>
          <w:sz w:val="32"/>
          <w:szCs w:val="32"/>
          <w:shd w:val="clear" w:color="auto" w:fill="FFFFFF"/>
        </w:rPr>
        <w:t>　　</w:t>
      </w:r>
      <w:r>
        <w:rPr>
          <w:rFonts w:ascii="仿宋_GB2312" w:hAnsi="仿宋" w:eastAsia="仿宋_GB2312" w:cs="仿宋"/>
          <w:color w:val="000000"/>
          <w:sz w:val="32"/>
          <w:szCs w:val="32"/>
          <w:shd w:val="clear" w:color="auto" w:fill="FFFFFF"/>
        </w:rPr>
        <w:t xml:space="preserve"> 5.</w:t>
      </w:r>
      <w:r>
        <w:rPr>
          <w:rFonts w:hint="eastAsia" w:ascii="仿宋_GB2312" w:hAnsi="仿宋" w:eastAsia="仿宋_GB2312" w:cs="仿宋"/>
          <w:color w:val="000000"/>
          <w:sz w:val="32"/>
          <w:szCs w:val="32"/>
          <w:shd w:val="clear" w:color="auto" w:fill="FFFFFF"/>
        </w:rPr>
        <w:t>全民参与：引导人民群众树立正确健康观，以通俗易懂的方法普及健康知识和技能，强化个人健康责任意识，提高群众健康素养水平。依托全民健身运动、全民健康生活方式行动等载体，促进群众形成健康的行为和生活方式。充分调动社会力量的积极性和创造性，不断满足群众多层次、多样化的健康需求。</w:t>
      </w:r>
    </w:p>
    <w:p>
      <w:pPr>
        <w:spacing w:line="56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三、工作内容及指标</w:t>
      </w:r>
    </w:p>
    <w:p>
      <w:pPr>
        <w:spacing w:line="560" w:lineRule="exact"/>
        <w:ind w:firstLine="640" w:firstLineChars="200"/>
        <w:rPr>
          <w:rFonts w:ascii="楷体_GB2312" w:hAnsi="楷体" w:eastAsia="楷体_GB2312" w:cs="楷体"/>
          <w:color w:val="000000"/>
          <w:kern w:val="0"/>
          <w:sz w:val="32"/>
          <w:szCs w:val="32"/>
        </w:rPr>
      </w:pPr>
      <w:r>
        <w:rPr>
          <w:rFonts w:hint="eastAsia" w:ascii="楷体_GB2312" w:hAnsi="楷体" w:eastAsia="楷体_GB2312" w:cs="楷体"/>
          <w:color w:val="000000"/>
          <w:kern w:val="0"/>
          <w:sz w:val="32"/>
          <w:szCs w:val="32"/>
        </w:rPr>
        <w:t>（一）持续完善慢性病防控工作体系，建立群防群控长效工作机制</w:t>
      </w:r>
    </w:p>
    <w:p>
      <w:pPr>
        <w:spacing w:line="560" w:lineRule="exact"/>
        <w:ind w:firstLine="640" w:firstLineChars="200"/>
        <w:rPr>
          <w:rFonts w:ascii="仿宋_GB2312" w:hAnsi="仿宋" w:eastAsia="仿宋_GB2312" w:cs="仿宋"/>
          <w:color w:val="000000"/>
          <w:sz w:val="32"/>
          <w:szCs w:val="32"/>
          <w:shd w:val="clear" w:color="auto" w:fill="FFFFFF"/>
        </w:rPr>
      </w:pPr>
      <w:r>
        <w:rPr>
          <w:rFonts w:ascii="仿宋_GB2312" w:hAnsi="仿宋" w:eastAsia="仿宋_GB2312" w:cs="仿宋"/>
          <w:color w:val="000000"/>
          <w:sz w:val="32"/>
          <w:szCs w:val="32"/>
          <w:shd w:val="clear" w:color="auto" w:fill="FFFFFF"/>
        </w:rPr>
        <w:t>1.</w:t>
      </w:r>
      <w:r>
        <w:rPr>
          <w:rFonts w:hint="eastAsia" w:ascii="仿宋_GB2312" w:hAnsi="仿宋" w:eastAsia="仿宋_GB2312" w:cs="仿宋"/>
          <w:color w:val="000000"/>
          <w:sz w:val="32"/>
          <w:szCs w:val="32"/>
          <w:shd w:val="clear" w:color="auto" w:fill="FFFFFF"/>
        </w:rPr>
        <w:t>组织召开领导小组会议，每年至少</w:t>
      </w:r>
      <w:r>
        <w:rPr>
          <w:rFonts w:ascii="仿宋_GB2312" w:hAnsi="仿宋" w:eastAsia="仿宋_GB2312" w:cs="仿宋"/>
          <w:color w:val="000000"/>
          <w:sz w:val="32"/>
          <w:szCs w:val="32"/>
          <w:shd w:val="clear" w:color="auto" w:fill="FFFFFF"/>
        </w:rPr>
        <w:t>1</w:t>
      </w:r>
      <w:r>
        <w:rPr>
          <w:rFonts w:hint="eastAsia" w:ascii="仿宋_GB2312" w:hAnsi="仿宋" w:eastAsia="仿宋_GB2312" w:cs="仿宋"/>
          <w:color w:val="000000"/>
          <w:sz w:val="32"/>
          <w:szCs w:val="32"/>
          <w:shd w:val="clear" w:color="auto" w:fill="FFFFFF"/>
        </w:rPr>
        <w:t>次；部署慢病防控工作重点，将慢病防控工作和国家慢病示范区建设纳入《新郑市国民经济和社会发展第十四个五年规划》；制定《新郑市</w:t>
      </w:r>
      <w:r>
        <w:rPr>
          <w:rFonts w:ascii="仿宋_GB2312" w:hAnsi="仿宋" w:eastAsia="仿宋_GB2312" w:cs="仿宋"/>
          <w:color w:val="000000"/>
          <w:sz w:val="32"/>
          <w:szCs w:val="32"/>
          <w:shd w:val="clear" w:color="auto" w:fill="FFFFFF"/>
        </w:rPr>
        <w:t>2021—2025</w:t>
      </w:r>
      <w:r>
        <w:rPr>
          <w:rFonts w:hint="eastAsia" w:ascii="仿宋_GB2312" w:hAnsi="仿宋" w:eastAsia="仿宋_GB2312" w:cs="仿宋"/>
          <w:color w:val="000000"/>
          <w:sz w:val="32"/>
          <w:szCs w:val="32"/>
          <w:shd w:val="clear" w:color="auto" w:fill="FFFFFF"/>
        </w:rPr>
        <w:t>年国家慢性病综合防控示范区建设五年工作规划》；调整慢病示范区专家技术指导组成员；成立多部门联合督导组，每年至少开展</w:t>
      </w:r>
      <w:r>
        <w:rPr>
          <w:rFonts w:ascii="仿宋_GB2312" w:hAnsi="仿宋" w:eastAsia="仿宋_GB2312" w:cs="仿宋"/>
          <w:color w:val="000000"/>
          <w:sz w:val="32"/>
          <w:szCs w:val="32"/>
          <w:shd w:val="clear" w:color="auto" w:fill="FFFFFF"/>
        </w:rPr>
        <w:t>2</w:t>
      </w:r>
      <w:r>
        <w:rPr>
          <w:rFonts w:hint="eastAsia" w:ascii="仿宋_GB2312" w:hAnsi="仿宋" w:eastAsia="仿宋_GB2312" w:cs="仿宋"/>
          <w:color w:val="000000"/>
          <w:sz w:val="32"/>
          <w:szCs w:val="32"/>
          <w:shd w:val="clear" w:color="auto" w:fill="FFFFFF"/>
        </w:rPr>
        <w:t>次联合督导；建立联络员会议制度，每年至少召开</w:t>
      </w:r>
      <w:r>
        <w:rPr>
          <w:rFonts w:ascii="仿宋_GB2312" w:hAnsi="仿宋" w:eastAsia="仿宋_GB2312" w:cs="仿宋"/>
          <w:color w:val="000000"/>
          <w:sz w:val="32"/>
          <w:szCs w:val="32"/>
          <w:shd w:val="clear" w:color="auto" w:fill="FFFFFF"/>
        </w:rPr>
        <w:t>4</w:t>
      </w:r>
      <w:r>
        <w:rPr>
          <w:rFonts w:hint="eastAsia" w:ascii="仿宋_GB2312" w:hAnsi="仿宋" w:eastAsia="仿宋_GB2312" w:cs="仿宋"/>
          <w:color w:val="000000"/>
          <w:sz w:val="32"/>
          <w:szCs w:val="32"/>
          <w:shd w:val="clear" w:color="auto" w:fill="FFFFFF"/>
        </w:rPr>
        <w:t>次会议；完善信息沟通共享、激励问责、质量控制基本运行机制。</w:t>
      </w:r>
    </w:p>
    <w:p>
      <w:pPr>
        <w:spacing w:line="560" w:lineRule="exact"/>
        <w:ind w:firstLine="640" w:firstLineChars="200"/>
        <w:rPr>
          <w:rFonts w:ascii="仿宋_GB2312" w:hAnsi="仿宋" w:eastAsia="仿宋_GB2312" w:cs="仿宋"/>
          <w:color w:val="000000"/>
          <w:sz w:val="32"/>
          <w:szCs w:val="32"/>
          <w:shd w:val="clear" w:color="auto" w:fill="FFFFFF"/>
        </w:rPr>
      </w:pPr>
      <w:r>
        <w:rPr>
          <w:rFonts w:ascii="仿宋_GB2312" w:hAnsi="仿宋" w:eastAsia="仿宋_GB2312" w:cs="仿宋"/>
          <w:color w:val="000000"/>
          <w:sz w:val="32"/>
          <w:szCs w:val="32"/>
          <w:shd w:val="clear" w:color="auto" w:fill="FFFFFF"/>
        </w:rPr>
        <w:t>2.</w:t>
      </w:r>
      <w:r>
        <w:rPr>
          <w:rFonts w:hint="eastAsia" w:ascii="仿宋_GB2312" w:hAnsi="仿宋" w:eastAsia="仿宋_GB2312" w:cs="仿宋"/>
          <w:color w:val="000000"/>
          <w:sz w:val="32"/>
          <w:szCs w:val="32"/>
          <w:shd w:val="clear" w:color="auto" w:fill="FFFFFF"/>
        </w:rPr>
        <w:t>政府将慢病防控工作纳入政府经济社会发展规划，制定慢病综合防控示范区建设实施方案，将建设工作纳入各相关部门年度目标管理及绩效考核并落实问责制，定期发布慢病及社会影响因素状况白皮书，主要结果用于政府工作报告。居民健康状况指标：（</w:t>
      </w:r>
      <w:r>
        <w:rPr>
          <w:rFonts w:ascii="仿宋_GB2312" w:hAnsi="仿宋" w:eastAsia="仿宋_GB2312" w:cs="仿宋"/>
          <w:color w:val="000000"/>
          <w:sz w:val="32"/>
          <w:szCs w:val="32"/>
          <w:shd w:val="clear" w:color="auto" w:fill="FFFFFF"/>
        </w:rPr>
        <w:t>1</w:t>
      </w:r>
      <w:r>
        <w:rPr>
          <w:rFonts w:hint="eastAsia" w:ascii="仿宋_GB2312" w:hAnsi="仿宋" w:eastAsia="仿宋_GB2312" w:cs="仿宋"/>
          <w:color w:val="000000"/>
          <w:sz w:val="32"/>
          <w:szCs w:val="32"/>
          <w:shd w:val="clear" w:color="auto" w:fill="FFFFFF"/>
        </w:rPr>
        <w:t>）重大慢性病过早死亡率</w:t>
      </w:r>
      <w:r>
        <w:rPr>
          <w:rFonts w:ascii="仿宋_GB2312" w:hAnsi="仿宋" w:eastAsia="仿宋_GB2312" w:cs="仿宋"/>
          <w:color w:val="000000"/>
          <w:sz w:val="32"/>
          <w:szCs w:val="32"/>
          <w:shd w:val="clear" w:color="auto" w:fill="FFFFFF"/>
        </w:rPr>
        <w:t>5</w:t>
      </w:r>
      <w:r>
        <w:rPr>
          <w:rFonts w:hint="eastAsia" w:ascii="仿宋_GB2312" w:hAnsi="仿宋" w:eastAsia="仿宋_GB2312" w:cs="仿宋"/>
          <w:color w:val="000000"/>
          <w:sz w:val="32"/>
          <w:szCs w:val="32"/>
          <w:shd w:val="clear" w:color="auto" w:fill="FFFFFF"/>
        </w:rPr>
        <w:t>年下降≥</w:t>
      </w:r>
      <w:r>
        <w:rPr>
          <w:rFonts w:ascii="仿宋_GB2312" w:hAnsi="仿宋" w:eastAsia="仿宋_GB2312" w:cs="仿宋"/>
          <w:color w:val="000000"/>
          <w:sz w:val="32"/>
          <w:szCs w:val="32"/>
          <w:shd w:val="clear" w:color="auto" w:fill="FFFFFF"/>
        </w:rPr>
        <w:t>10%</w:t>
      </w:r>
      <w:r>
        <w:rPr>
          <w:rFonts w:hint="eastAsia" w:ascii="仿宋_GB2312" w:hAnsi="仿宋" w:eastAsia="仿宋_GB2312" w:cs="仿宋"/>
          <w:color w:val="000000"/>
          <w:sz w:val="32"/>
          <w:szCs w:val="32"/>
          <w:shd w:val="clear" w:color="auto" w:fill="FFFFFF"/>
        </w:rPr>
        <w:t>；（</w:t>
      </w:r>
      <w:r>
        <w:rPr>
          <w:rFonts w:ascii="仿宋_GB2312" w:hAnsi="仿宋" w:eastAsia="仿宋_GB2312" w:cs="仿宋"/>
          <w:color w:val="000000"/>
          <w:sz w:val="32"/>
          <w:szCs w:val="32"/>
          <w:shd w:val="clear" w:color="auto" w:fill="FFFFFF"/>
        </w:rPr>
        <w:t>2</w:t>
      </w:r>
      <w:r>
        <w:rPr>
          <w:rFonts w:hint="eastAsia" w:ascii="仿宋_GB2312" w:hAnsi="仿宋" w:eastAsia="仿宋_GB2312" w:cs="仿宋"/>
          <w:color w:val="000000"/>
          <w:sz w:val="32"/>
          <w:szCs w:val="32"/>
          <w:shd w:val="clear" w:color="auto" w:fill="FFFFFF"/>
        </w:rPr>
        <w:t>）心脑血管疾病标化死亡率降至</w:t>
      </w:r>
      <w:r>
        <w:rPr>
          <w:rFonts w:ascii="仿宋_GB2312" w:hAnsi="仿宋" w:eastAsia="仿宋_GB2312" w:cs="仿宋"/>
          <w:color w:val="000000"/>
          <w:sz w:val="32"/>
          <w:szCs w:val="32"/>
          <w:shd w:val="clear" w:color="auto" w:fill="FFFFFF"/>
        </w:rPr>
        <w:t xml:space="preserve">205.1/10 </w:t>
      </w:r>
      <w:r>
        <w:rPr>
          <w:rFonts w:hint="eastAsia" w:ascii="仿宋_GB2312" w:hAnsi="仿宋" w:eastAsia="仿宋_GB2312" w:cs="仿宋"/>
          <w:color w:val="000000"/>
          <w:sz w:val="32"/>
          <w:szCs w:val="32"/>
          <w:shd w:val="clear" w:color="auto" w:fill="FFFFFF"/>
        </w:rPr>
        <w:t>万及以下；（</w:t>
      </w:r>
      <w:r>
        <w:rPr>
          <w:rFonts w:ascii="仿宋_GB2312" w:hAnsi="仿宋" w:eastAsia="仿宋_GB2312" w:cs="仿宋"/>
          <w:color w:val="000000"/>
          <w:sz w:val="32"/>
          <w:szCs w:val="32"/>
          <w:shd w:val="clear" w:color="auto" w:fill="FFFFFF"/>
        </w:rPr>
        <w:t>3</w:t>
      </w:r>
      <w:r>
        <w:rPr>
          <w:rFonts w:hint="eastAsia" w:ascii="仿宋_GB2312" w:hAnsi="仿宋" w:eastAsia="仿宋_GB2312" w:cs="仿宋"/>
          <w:color w:val="000000"/>
          <w:sz w:val="32"/>
          <w:szCs w:val="32"/>
          <w:shd w:val="clear" w:color="auto" w:fill="FFFFFF"/>
        </w:rPr>
        <w:t>）</w:t>
      </w:r>
      <w:r>
        <w:rPr>
          <w:rFonts w:ascii="仿宋_GB2312" w:hAnsi="仿宋" w:eastAsia="仿宋_GB2312" w:cs="仿宋"/>
          <w:color w:val="000000"/>
          <w:sz w:val="32"/>
          <w:szCs w:val="32"/>
          <w:shd w:val="clear" w:color="auto" w:fill="FFFFFF"/>
        </w:rPr>
        <w:t>70</w:t>
      </w:r>
      <w:r>
        <w:rPr>
          <w:rFonts w:hint="eastAsia" w:ascii="仿宋_GB2312" w:hAnsi="仿宋" w:eastAsia="仿宋_GB2312" w:cs="仿宋"/>
          <w:color w:val="000000"/>
          <w:sz w:val="32"/>
          <w:szCs w:val="32"/>
          <w:shd w:val="clear" w:color="auto" w:fill="FFFFFF"/>
        </w:rPr>
        <w:t>岁及以下人群慢性呼吸系统疾病标化死亡率降至</w:t>
      </w:r>
      <w:r>
        <w:rPr>
          <w:rFonts w:ascii="仿宋_GB2312" w:hAnsi="仿宋" w:eastAsia="仿宋_GB2312" w:cs="仿宋"/>
          <w:color w:val="000000"/>
          <w:sz w:val="32"/>
          <w:szCs w:val="32"/>
          <w:shd w:val="clear" w:color="auto" w:fill="FFFFFF"/>
        </w:rPr>
        <w:t>9.0/10</w:t>
      </w:r>
      <w:r>
        <w:rPr>
          <w:rFonts w:hint="eastAsia" w:ascii="仿宋_GB2312" w:hAnsi="仿宋" w:eastAsia="仿宋_GB2312" w:cs="仿宋"/>
          <w:color w:val="000000"/>
          <w:sz w:val="32"/>
          <w:szCs w:val="32"/>
          <w:shd w:val="clear" w:color="auto" w:fill="FFFFFF"/>
        </w:rPr>
        <w:t>万及以下。</w:t>
      </w:r>
    </w:p>
    <w:p>
      <w:pPr>
        <w:spacing w:line="560" w:lineRule="exact"/>
        <w:ind w:firstLine="640" w:firstLineChars="200"/>
        <w:rPr>
          <w:rFonts w:ascii="仿宋_GB2312" w:hAnsi="仿宋" w:eastAsia="仿宋_GB2312" w:cs="仿宋"/>
          <w:color w:val="000000"/>
          <w:sz w:val="32"/>
          <w:szCs w:val="32"/>
          <w:shd w:val="clear" w:color="auto" w:fill="FFFFFF"/>
        </w:rPr>
      </w:pPr>
      <w:r>
        <w:rPr>
          <w:rFonts w:ascii="仿宋_GB2312" w:hAnsi="仿宋" w:eastAsia="仿宋_GB2312" w:cs="仿宋"/>
          <w:color w:val="000000"/>
          <w:sz w:val="32"/>
          <w:szCs w:val="32"/>
          <w:shd w:val="clear" w:color="auto" w:fill="FFFFFF"/>
        </w:rPr>
        <w:t>3.</w:t>
      </w:r>
      <w:r>
        <w:rPr>
          <w:rFonts w:hint="eastAsia" w:ascii="仿宋_GB2312" w:hAnsi="仿宋" w:eastAsia="仿宋_GB2312" w:cs="仿宋"/>
          <w:color w:val="000000"/>
          <w:sz w:val="32"/>
          <w:szCs w:val="32"/>
          <w:shd w:val="clear" w:color="auto" w:fill="FFFFFF"/>
        </w:rPr>
        <w:t>保障慢病防控工作经费，纳入政府年度预决算，确保专款专用，执行率</w:t>
      </w:r>
      <w:r>
        <w:rPr>
          <w:rFonts w:ascii="仿宋_GB2312" w:hAnsi="仿宋" w:eastAsia="仿宋_GB2312" w:cs="仿宋"/>
          <w:color w:val="000000"/>
          <w:sz w:val="32"/>
          <w:szCs w:val="32"/>
          <w:shd w:val="clear" w:color="auto" w:fill="FFFFFF"/>
        </w:rPr>
        <w:t>100%</w:t>
      </w:r>
      <w:r>
        <w:rPr>
          <w:rFonts w:hint="eastAsia" w:ascii="仿宋_GB2312" w:hAnsi="仿宋" w:eastAsia="仿宋_GB2312" w:cs="仿宋"/>
          <w:color w:val="000000"/>
          <w:sz w:val="32"/>
          <w:szCs w:val="32"/>
          <w:shd w:val="clear" w:color="auto" w:fill="FFFFFF"/>
        </w:rPr>
        <w:t>。</w:t>
      </w:r>
    </w:p>
    <w:p>
      <w:pPr>
        <w:spacing w:line="560" w:lineRule="exact"/>
        <w:ind w:firstLine="640" w:firstLineChars="200"/>
        <w:rPr>
          <w:rFonts w:ascii="楷体_GB2312" w:hAnsi="仿宋" w:eastAsia="楷体_GB2312" w:cs="仿宋"/>
          <w:color w:val="000000"/>
          <w:sz w:val="32"/>
          <w:szCs w:val="32"/>
          <w:shd w:val="clear" w:color="auto" w:fill="FFFFFF"/>
        </w:rPr>
      </w:pPr>
      <w:r>
        <w:rPr>
          <w:rFonts w:hint="eastAsia" w:ascii="楷体_GB2312" w:hAnsi="仿宋" w:eastAsia="楷体_GB2312" w:cs="仿宋"/>
          <w:color w:val="000000"/>
          <w:sz w:val="32"/>
          <w:szCs w:val="32"/>
          <w:shd w:val="clear" w:color="auto" w:fill="FFFFFF"/>
        </w:rPr>
        <w:t>（二）加大健康支持性环境建设力度，引导居民养成良好生活习惯</w:t>
      </w:r>
    </w:p>
    <w:p>
      <w:pPr>
        <w:spacing w:line="560" w:lineRule="exact"/>
        <w:ind w:firstLine="640" w:firstLineChars="200"/>
        <w:rPr>
          <w:rFonts w:ascii="仿宋_GB2312" w:hAnsi="仿宋" w:eastAsia="仿宋_GB2312" w:cs="仿宋"/>
          <w:color w:val="000000"/>
          <w:sz w:val="32"/>
          <w:szCs w:val="32"/>
          <w:shd w:val="clear" w:color="auto" w:fill="FFFFFF"/>
        </w:rPr>
      </w:pPr>
      <w:r>
        <w:rPr>
          <w:rFonts w:ascii="仿宋_GB2312" w:hAnsi="仿宋" w:eastAsia="仿宋_GB2312" w:cs="仿宋"/>
          <w:color w:val="000000"/>
          <w:sz w:val="32"/>
          <w:szCs w:val="32"/>
          <w:shd w:val="clear" w:color="auto" w:fill="FFFFFF"/>
        </w:rPr>
        <w:t>1.</w:t>
      </w:r>
      <w:r>
        <w:rPr>
          <w:rFonts w:hint="eastAsia" w:ascii="仿宋_GB2312" w:hAnsi="仿宋" w:eastAsia="仿宋_GB2312" w:cs="仿宋"/>
          <w:color w:val="000000"/>
          <w:sz w:val="32"/>
          <w:szCs w:val="32"/>
          <w:shd w:val="clear" w:color="auto" w:fill="FFFFFF"/>
        </w:rPr>
        <w:t>持续开展健康社区、单位、学校、食堂、餐厅（酒店）、超市、街道、社团、家庭、主题公园、步道、小屋等</w:t>
      </w:r>
      <w:r>
        <w:rPr>
          <w:rFonts w:ascii="仿宋_GB2312" w:hAnsi="仿宋" w:eastAsia="仿宋_GB2312" w:cs="仿宋"/>
          <w:color w:val="000000"/>
          <w:sz w:val="32"/>
          <w:szCs w:val="32"/>
          <w:shd w:val="clear" w:color="auto" w:fill="FFFFFF"/>
        </w:rPr>
        <w:t>12</w:t>
      </w:r>
      <w:r>
        <w:rPr>
          <w:rFonts w:hint="eastAsia" w:ascii="仿宋_GB2312" w:hAnsi="仿宋" w:eastAsia="仿宋_GB2312" w:cs="仿宋"/>
          <w:color w:val="000000"/>
          <w:sz w:val="32"/>
          <w:szCs w:val="32"/>
          <w:shd w:val="clear" w:color="auto" w:fill="FFFFFF"/>
        </w:rPr>
        <w:t>类健康单元建设活动。健康社区覆盖率逐年增加</w:t>
      </w:r>
      <w:r>
        <w:rPr>
          <w:rFonts w:ascii="仿宋_GB2312" w:hAnsi="仿宋" w:eastAsia="仿宋_GB2312" w:cs="仿宋"/>
          <w:color w:val="000000"/>
          <w:sz w:val="32"/>
          <w:szCs w:val="32"/>
          <w:shd w:val="clear" w:color="auto" w:fill="FFFFFF"/>
        </w:rPr>
        <w:t>5%</w:t>
      </w:r>
      <w:r>
        <w:rPr>
          <w:rFonts w:hint="eastAsia" w:ascii="仿宋_GB2312" w:hAnsi="仿宋" w:eastAsia="仿宋_GB2312" w:cs="仿宋"/>
          <w:color w:val="000000"/>
          <w:sz w:val="32"/>
          <w:szCs w:val="32"/>
          <w:shd w:val="clear" w:color="auto" w:fill="FFFFFF"/>
        </w:rPr>
        <w:t>或达到</w:t>
      </w:r>
      <w:r>
        <w:rPr>
          <w:rFonts w:ascii="仿宋_GB2312" w:hAnsi="仿宋" w:eastAsia="仿宋_GB2312" w:cs="仿宋"/>
          <w:color w:val="000000"/>
          <w:sz w:val="32"/>
          <w:szCs w:val="32"/>
          <w:shd w:val="clear" w:color="auto" w:fill="FFFFFF"/>
        </w:rPr>
        <w:t>40%</w:t>
      </w:r>
      <w:r>
        <w:rPr>
          <w:rFonts w:hint="eastAsia" w:ascii="仿宋_GB2312" w:hAnsi="仿宋" w:eastAsia="仿宋_GB2312" w:cs="仿宋"/>
          <w:color w:val="000000"/>
          <w:sz w:val="32"/>
          <w:szCs w:val="32"/>
          <w:shd w:val="clear" w:color="auto" w:fill="FFFFFF"/>
        </w:rPr>
        <w:t>及以上；健康单位、学校、食堂、餐厅</w:t>
      </w:r>
      <w:r>
        <w:rPr>
          <w:rFonts w:ascii="仿宋_GB2312" w:hAnsi="仿宋" w:eastAsia="仿宋_GB2312" w:cs="仿宋"/>
          <w:color w:val="000000"/>
          <w:sz w:val="32"/>
          <w:szCs w:val="32"/>
          <w:shd w:val="clear" w:color="auto" w:fill="FFFFFF"/>
        </w:rPr>
        <w:t>/</w:t>
      </w:r>
      <w:r>
        <w:rPr>
          <w:rFonts w:hint="eastAsia" w:ascii="仿宋_GB2312" w:hAnsi="仿宋" w:eastAsia="仿宋_GB2312" w:cs="仿宋"/>
          <w:color w:val="000000"/>
          <w:sz w:val="32"/>
          <w:szCs w:val="32"/>
          <w:shd w:val="clear" w:color="auto" w:fill="FFFFFF"/>
        </w:rPr>
        <w:t>酒店每年增加</w:t>
      </w:r>
      <w:r>
        <w:rPr>
          <w:rFonts w:ascii="仿宋_GB2312" w:hAnsi="仿宋" w:eastAsia="仿宋_GB2312" w:cs="仿宋"/>
          <w:color w:val="000000"/>
          <w:sz w:val="32"/>
          <w:szCs w:val="32"/>
          <w:shd w:val="clear" w:color="auto" w:fill="FFFFFF"/>
        </w:rPr>
        <w:t>2</w:t>
      </w:r>
      <w:r>
        <w:rPr>
          <w:rFonts w:hint="eastAsia" w:ascii="仿宋_GB2312" w:hAnsi="仿宋" w:eastAsia="仿宋_GB2312" w:cs="仿宋"/>
          <w:color w:val="000000"/>
          <w:sz w:val="32"/>
          <w:szCs w:val="32"/>
          <w:shd w:val="clear" w:color="auto" w:fill="FFFFFF"/>
        </w:rPr>
        <w:t>个或每类达到</w:t>
      </w:r>
      <w:r>
        <w:rPr>
          <w:rFonts w:ascii="仿宋_GB2312" w:hAnsi="仿宋" w:eastAsia="仿宋_GB2312" w:cs="仿宋"/>
          <w:color w:val="000000"/>
          <w:sz w:val="32"/>
          <w:szCs w:val="32"/>
          <w:shd w:val="clear" w:color="auto" w:fill="FFFFFF"/>
        </w:rPr>
        <w:t>10</w:t>
      </w:r>
      <w:r>
        <w:rPr>
          <w:rFonts w:hint="eastAsia" w:ascii="仿宋_GB2312" w:hAnsi="仿宋" w:eastAsia="仿宋_GB2312" w:cs="仿宋"/>
          <w:color w:val="000000"/>
          <w:sz w:val="32"/>
          <w:szCs w:val="32"/>
          <w:shd w:val="clear" w:color="auto" w:fill="FFFFFF"/>
        </w:rPr>
        <w:t>个及以上；健康主题公园、步道、小屋等数量逐年增加或每类建设数量达到</w:t>
      </w:r>
      <w:r>
        <w:rPr>
          <w:rFonts w:ascii="仿宋_GB2312" w:hAnsi="仿宋" w:eastAsia="仿宋_GB2312" w:cs="仿宋"/>
          <w:color w:val="000000"/>
          <w:sz w:val="32"/>
          <w:szCs w:val="32"/>
          <w:shd w:val="clear" w:color="auto" w:fill="FFFFFF"/>
        </w:rPr>
        <w:t>3</w:t>
      </w:r>
      <w:r>
        <w:rPr>
          <w:rFonts w:hint="eastAsia" w:ascii="仿宋_GB2312" w:hAnsi="仿宋" w:eastAsia="仿宋_GB2312" w:cs="仿宋"/>
          <w:color w:val="000000"/>
          <w:sz w:val="32"/>
          <w:szCs w:val="32"/>
          <w:shd w:val="clear" w:color="auto" w:fill="FFFFFF"/>
        </w:rPr>
        <w:t>个；健康知识及时更新，设施运转正常，服务能力进一步提升。</w:t>
      </w:r>
    </w:p>
    <w:p>
      <w:pPr>
        <w:spacing w:line="560" w:lineRule="exact"/>
        <w:ind w:firstLine="640" w:firstLineChars="200"/>
        <w:rPr>
          <w:rFonts w:ascii="仿宋_GB2312" w:hAnsi="仿宋" w:eastAsia="仿宋_GB2312" w:cs="仿宋"/>
          <w:color w:val="000000"/>
          <w:sz w:val="32"/>
          <w:szCs w:val="32"/>
          <w:shd w:val="clear" w:color="auto" w:fill="FFFFFF"/>
        </w:rPr>
      </w:pPr>
      <w:r>
        <w:rPr>
          <w:rFonts w:ascii="仿宋_GB2312" w:hAnsi="仿宋" w:eastAsia="仿宋_GB2312" w:cs="仿宋"/>
          <w:color w:val="000000"/>
          <w:sz w:val="32"/>
          <w:szCs w:val="32"/>
          <w:shd w:val="clear" w:color="auto" w:fill="FFFFFF"/>
        </w:rPr>
        <w:t>2.</w:t>
      </w:r>
      <w:r>
        <w:rPr>
          <w:rFonts w:hint="eastAsia" w:ascii="仿宋_GB2312" w:hAnsi="仿宋" w:eastAsia="仿宋_GB2312" w:cs="仿宋"/>
          <w:color w:val="000000"/>
          <w:sz w:val="32"/>
          <w:szCs w:val="32"/>
          <w:shd w:val="clear" w:color="auto" w:fill="FFFFFF"/>
        </w:rPr>
        <w:t>开展全民健康生活方式“三减三健”（减盐、减油、减糖，健康口腔、健康体重、健康骨骼）专项行动。每年举办或者组织“三减三健”培训至少</w:t>
      </w:r>
      <w:r>
        <w:rPr>
          <w:rFonts w:ascii="仿宋_GB2312" w:hAnsi="仿宋" w:eastAsia="仿宋_GB2312" w:cs="仿宋"/>
          <w:color w:val="000000"/>
          <w:sz w:val="32"/>
          <w:szCs w:val="32"/>
          <w:shd w:val="clear" w:color="auto" w:fill="FFFFFF"/>
        </w:rPr>
        <w:t>1</w:t>
      </w:r>
      <w:r>
        <w:rPr>
          <w:rFonts w:hint="eastAsia" w:ascii="仿宋_GB2312" w:hAnsi="仿宋" w:eastAsia="仿宋_GB2312" w:cs="仿宋"/>
          <w:color w:val="000000"/>
          <w:sz w:val="32"/>
          <w:szCs w:val="32"/>
          <w:shd w:val="clear" w:color="auto" w:fill="FFFFFF"/>
        </w:rPr>
        <w:t>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，每年至少开展</w:t>
      </w:r>
      <w:r>
        <w:rPr>
          <w:rFonts w:ascii="仿宋_GB2312" w:hAnsi="仿宋" w:eastAsia="仿宋_GB2312" w:cs="仿宋"/>
          <w:color w:val="000000"/>
          <w:sz w:val="32"/>
          <w:szCs w:val="32"/>
          <w:shd w:val="clear" w:color="auto" w:fill="FFFFFF"/>
        </w:rPr>
        <w:t>6</w:t>
      </w:r>
      <w:r>
        <w:rPr>
          <w:rFonts w:hint="eastAsia" w:ascii="仿宋_GB2312" w:hAnsi="仿宋" w:eastAsia="仿宋_GB2312" w:cs="仿宋"/>
          <w:color w:val="000000"/>
          <w:sz w:val="32"/>
          <w:szCs w:val="32"/>
          <w:shd w:val="clear" w:color="auto" w:fill="FFFFFF"/>
        </w:rPr>
        <w:t>次多种方式的专项行动宣传活动。推广使用健康“小三件”（限量盐勺、限量油壶和健康腰围尺），降低食盐与食用油的摄入量，食盐与食用油的摄入量低于河南省平均水平</w:t>
      </w:r>
      <w:r>
        <w:rPr>
          <w:rFonts w:ascii="仿宋_GB2312" w:hAnsi="仿宋" w:eastAsia="仿宋_GB2312" w:cs="仿宋"/>
          <w:color w:val="000000"/>
          <w:sz w:val="32"/>
          <w:szCs w:val="32"/>
          <w:shd w:val="clear" w:color="auto" w:fill="FFFFFF"/>
        </w:rPr>
        <w:t>3%</w:t>
      </w:r>
      <w:r>
        <w:rPr>
          <w:rFonts w:hint="eastAsia" w:ascii="仿宋_GB2312" w:hAnsi="仿宋" w:eastAsia="仿宋_GB2312" w:cs="仿宋"/>
          <w:color w:val="000000"/>
          <w:sz w:val="32"/>
          <w:szCs w:val="32"/>
          <w:shd w:val="clear" w:color="auto" w:fill="FFFFFF"/>
        </w:rPr>
        <w:t>及以上，</w:t>
      </w:r>
      <w:r>
        <w:rPr>
          <w:rFonts w:ascii="仿宋_GB2312" w:hAnsi="仿宋" w:eastAsia="仿宋_GB2312" w:cs="仿宋"/>
          <w:color w:val="000000"/>
          <w:sz w:val="32"/>
          <w:szCs w:val="32"/>
          <w:shd w:val="clear" w:color="auto" w:fill="FFFFFF"/>
        </w:rPr>
        <w:t>5</w:t>
      </w:r>
      <w:r>
        <w:rPr>
          <w:rFonts w:hint="eastAsia" w:ascii="仿宋_GB2312" w:hAnsi="仿宋" w:eastAsia="仿宋_GB2312" w:cs="仿宋"/>
          <w:color w:val="000000"/>
          <w:sz w:val="32"/>
          <w:szCs w:val="32"/>
          <w:shd w:val="clear" w:color="auto" w:fill="FFFFFF"/>
        </w:rPr>
        <w:t>年下降</w:t>
      </w:r>
      <w:r>
        <w:rPr>
          <w:rFonts w:ascii="仿宋_GB2312" w:hAnsi="仿宋" w:eastAsia="仿宋_GB2312" w:cs="仿宋"/>
          <w:color w:val="000000"/>
          <w:sz w:val="32"/>
          <w:szCs w:val="32"/>
          <w:shd w:val="clear" w:color="auto" w:fill="FFFFFF"/>
        </w:rPr>
        <w:t>15%</w:t>
      </w:r>
      <w:r>
        <w:rPr>
          <w:rFonts w:hint="eastAsia" w:ascii="仿宋_GB2312" w:hAnsi="仿宋" w:eastAsia="仿宋_GB2312" w:cs="仿宋"/>
          <w:color w:val="000000"/>
          <w:sz w:val="32"/>
          <w:szCs w:val="32"/>
          <w:shd w:val="clear" w:color="auto" w:fill="FFFFFF"/>
        </w:rPr>
        <w:t>。实施儿童窝沟封闭，开展健康口腔活动，降低</w:t>
      </w:r>
      <w:r>
        <w:rPr>
          <w:rFonts w:ascii="仿宋_GB2312" w:hAnsi="仿宋" w:eastAsia="仿宋_GB2312" w:cs="仿宋"/>
          <w:color w:val="000000"/>
          <w:sz w:val="32"/>
          <w:szCs w:val="32"/>
          <w:shd w:val="clear" w:color="auto" w:fill="FFFFFF"/>
        </w:rPr>
        <w:t>12</w:t>
      </w:r>
      <w:r>
        <w:rPr>
          <w:rFonts w:hint="eastAsia" w:ascii="仿宋_GB2312" w:hAnsi="仿宋" w:eastAsia="仿宋_GB2312" w:cs="仿宋"/>
          <w:color w:val="000000"/>
          <w:sz w:val="32"/>
          <w:szCs w:val="32"/>
          <w:shd w:val="clear" w:color="auto" w:fill="FFFFFF"/>
        </w:rPr>
        <w:t>岁儿童患龋率，儿童窝沟封闭服务覆盖率≥</w:t>
      </w:r>
      <w:r>
        <w:rPr>
          <w:rFonts w:ascii="仿宋_GB2312" w:hAnsi="仿宋" w:eastAsia="仿宋_GB2312" w:cs="仿宋"/>
          <w:color w:val="000000"/>
          <w:sz w:val="32"/>
          <w:szCs w:val="32"/>
          <w:shd w:val="clear" w:color="auto" w:fill="FFFFFF"/>
        </w:rPr>
        <w:t>60%</w:t>
      </w:r>
      <w:r>
        <w:rPr>
          <w:rFonts w:hint="eastAsia" w:ascii="仿宋_GB2312" w:hAnsi="仿宋" w:eastAsia="仿宋_GB2312" w:cs="仿宋"/>
          <w:color w:val="000000"/>
          <w:sz w:val="32"/>
          <w:szCs w:val="32"/>
          <w:shd w:val="clear" w:color="auto" w:fill="FFFFFF"/>
        </w:rPr>
        <w:t>，</w:t>
      </w:r>
      <w:r>
        <w:rPr>
          <w:rFonts w:ascii="仿宋_GB2312" w:hAnsi="仿宋" w:eastAsia="仿宋_GB2312" w:cs="仿宋"/>
          <w:color w:val="000000"/>
          <w:sz w:val="32"/>
          <w:szCs w:val="32"/>
          <w:shd w:val="clear" w:color="auto" w:fill="FFFFFF"/>
        </w:rPr>
        <w:t>12</w:t>
      </w:r>
      <w:r>
        <w:rPr>
          <w:rFonts w:hint="eastAsia" w:ascii="仿宋_GB2312" w:hAnsi="仿宋" w:eastAsia="仿宋_GB2312" w:cs="仿宋"/>
          <w:color w:val="000000"/>
          <w:sz w:val="32"/>
          <w:szCs w:val="32"/>
          <w:shd w:val="clear" w:color="auto" w:fill="FFFFFF"/>
        </w:rPr>
        <w:t>岁儿童患龋率</w:t>
      </w:r>
      <w:r>
        <w:rPr>
          <w:rFonts w:ascii="仿宋_GB2312" w:hAnsi="仿宋" w:eastAsia="仿宋_GB2312" w:cs="仿宋"/>
          <w:color w:val="000000"/>
          <w:sz w:val="32"/>
          <w:szCs w:val="32"/>
          <w:shd w:val="clear" w:color="auto" w:fill="FFFFFF"/>
        </w:rPr>
        <w:t>&lt;25%</w:t>
      </w:r>
      <w:r>
        <w:rPr>
          <w:rFonts w:hint="eastAsia" w:ascii="仿宋_GB2312" w:hAnsi="仿宋" w:eastAsia="仿宋_GB2312" w:cs="仿宋"/>
          <w:color w:val="000000"/>
          <w:sz w:val="32"/>
          <w:szCs w:val="32"/>
          <w:shd w:val="clear" w:color="auto" w:fill="FFFFFF"/>
        </w:rPr>
        <w:t>；将骨密度检测纳入常规体检，逐年提高</w:t>
      </w:r>
      <w:r>
        <w:rPr>
          <w:rFonts w:ascii="仿宋_GB2312" w:hAnsi="仿宋" w:eastAsia="仿宋_GB2312" w:cs="仿宋"/>
          <w:color w:val="000000"/>
          <w:sz w:val="32"/>
          <w:szCs w:val="32"/>
          <w:shd w:val="clear" w:color="auto" w:fill="FFFFFF"/>
        </w:rPr>
        <w:t>50</w:t>
      </w:r>
      <w:r>
        <w:rPr>
          <w:rFonts w:hint="eastAsia" w:ascii="仿宋_GB2312" w:hAnsi="仿宋" w:eastAsia="仿宋_GB2312" w:cs="仿宋"/>
          <w:color w:val="000000"/>
          <w:sz w:val="32"/>
          <w:szCs w:val="32"/>
          <w:shd w:val="clear" w:color="auto" w:fill="FFFFFF"/>
        </w:rPr>
        <w:t>岁及以上人群骨密度检测率。每年至少招募并培训</w:t>
      </w:r>
      <w:r>
        <w:rPr>
          <w:rFonts w:ascii="仿宋_GB2312" w:hAnsi="仿宋" w:eastAsia="仿宋_GB2312" w:cs="仿宋"/>
          <w:color w:val="000000"/>
          <w:sz w:val="32"/>
          <w:szCs w:val="32"/>
          <w:shd w:val="clear" w:color="auto" w:fill="FFFFFF"/>
        </w:rPr>
        <w:t>5</w:t>
      </w:r>
      <w:r>
        <w:rPr>
          <w:rFonts w:hint="eastAsia" w:ascii="仿宋_GB2312" w:hAnsi="仿宋" w:eastAsia="仿宋_GB2312" w:cs="仿宋"/>
          <w:color w:val="000000"/>
          <w:sz w:val="32"/>
          <w:szCs w:val="32"/>
          <w:shd w:val="clear" w:color="auto" w:fill="FFFFFF"/>
        </w:rPr>
        <w:t>名健康生活方式指导员，覆盖家庭、社区、学校、单位、医院等五类场所，每年至少开展</w:t>
      </w:r>
      <w:r>
        <w:rPr>
          <w:rFonts w:ascii="仿宋_GB2312" w:hAnsi="仿宋" w:eastAsia="仿宋_GB2312" w:cs="仿宋"/>
          <w:color w:val="000000"/>
          <w:sz w:val="32"/>
          <w:szCs w:val="32"/>
          <w:shd w:val="clear" w:color="auto" w:fill="FFFFFF"/>
        </w:rPr>
        <w:t>2</w:t>
      </w:r>
      <w:r>
        <w:rPr>
          <w:rFonts w:hint="eastAsia" w:ascii="仿宋_GB2312" w:hAnsi="仿宋" w:eastAsia="仿宋_GB2312" w:cs="仿宋"/>
          <w:color w:val="000000"/>
          <w:sz w:val="32"/>
          <w:szCs w:val="32"/>
          <w:shd w:val="clear" w:color="auto" w:fill="FFFFFF"/>
        </w:rPr>
        <w:t>项特色现场活动。</w:t>
      </w:r>
    </w:p>
    <w:p>
      <w:pPr>
        <w:spacing w:line="560" w:lineRule="exact"/>
        <w:ind w:firstLine="640" w:firstLineChars="200"/>
        <w:rPr>
          <w:rFonts w:ascii="仿宋_GB2312" w:hAnsi="仿宋" w:eastAsia="仿宋_GB2312" w:cs="仿宋"/>
          <w:color w:val="000000"/>
          <w:sz w:val="32"/>
          <w:szCs w:val="32"/>
          <w:shd w:val="clear" w:color="auto" w:fill="FFFFFF"/>
        </w:rPr>
      </w:pPr>
      <w:r>
        <w:rPr>
          <w:rFonts w:ascii="仿宋_GB2312" w:hAnsi="仿宋" w:eastAsia="仿宋_GB2312" w:cs="仿宋"/>
          <w:color w:val="000000"/>
          <w:sz w:val="32"/>
          <w:szCs w:val="32"/>
          <w:shd w:val="clear" w:color="auto" w:fill="FFFFFF"/>
        </w:rPr>
        <w:t>3.</w:t>
      </w:r>
      <w:r>
        <w:rPr>
          <w:rFonts w:hint="eastAsia" w:ascii="仿宋_GB2312" w:hAnsi="仿宋" w:eastAsia="仿宋_GB2312" w:cs="仿宋"/>
          <w:color w:val="000000"/>
          <w:sz w:val="32"/>
          <w:szCs w:val="32"/>
          <w:shd w:val="clear" w:color="auto" w:fill="FFFFFF"/>
        </w:rPr>
        <w:t>各基层医疗机构设立自助健康检测点，覆盖率</w:t>
      </w:r>
      <w:r>
        <w:rPr>
          <w:rFonts w:ascii="仿宋_GB2312" w:hAnsi="仿宋" w:eastAsia="仿宋_GB2312" w:cs="仿宋"/>
          <w:color w:val="000000"/>
          <w:sz w:val="32"/>
          <w:szCs w:val="32"/>
          <w:shd w:val="clear" w:color="auto" w:fill="FFFFFF"/>
        </w:rPr>
        <w:t>100%</w:t>
      </w:r>
      <w:r>
        <w:rPr>
          <w:rFonts w:hint="eastAsia" w:ascii="仿宋_GB2312" w:hAnsi="仿宋" w:eastAsia="仿宋_GB2312" w:cs="仿宋"/>
          <w:color w:val="000000"/>
          <w:sz w:val="32"/>
          <w:szCs w:val="32"/>
          <w:shd w:val="clear" w:color="auto" w:fill="FFFFFF"/>
        </w:rPr>
        <w:t>，并且运行正常，提供个体化健康指导机构≥</w:t>
      </w:r>
      <w:r>
        <w:rPr>
          <w:rFonts w:ascii="仿宋_GB2312" w:hAnsi="仿宋" w:eastAsia="仿宋_GB2312" w:cs="仿宋"/>
          <w:color w:val="000000"/>
          <w:sz w:val="32"/>
          <w:szCs w:val="32"/>
          <w:shd w:val="clear" w:color="auto" w:fill="FFFFFF"/>
        </w:rPr>
        <w:t>50%</w:t>
      </w:r>
      <w:r>
        <w:rPr>
          <w:rFonts w:hint="eastAsia" w:ascii="仿宋_GB2312" w:hAnsi="仿宋" w:eastAsia="仿宋_GB2312" w:cs="仿宋"/>
          <w:color w:val="000000"/>
          <w:sz w:val="32"/>
          <w:szCs w:val="32"/>
          <w:shd w:val="clear" w:color="auto" w:fill="FFFFFF"/>
        </w:rPr>
        <w:t>。</w:t>
      </w:r>
    </w:p>
    <w:p>
      <w:pPr>
        <w:spacing w:line="560" w:lineRule="exact"/>
        <w:ind w:firstLine="640" w:firstLineChars="200"/>
        <w:rPr>
          <w:rFonts w:ascii="仿宋_GB2312" w:hAnsi="仿宋" w:eastAsia="仿宋_GB2312" w:cs="仿宋"/>
          <w:color w:val="000000"/>
          <w:sz w:val="32"/>
          <w:szCs w:val="32"/>
          <w:shd w:val="clear" w:color="auto" w:fill="FFFFFF"/>
        </w:rPr>
      </w:pPr>
      <w:r>
        <w:rPr>
          <w:rFonts w:ascii="仿宋_GB2312" w:hAnsi="仿宋" w:eastAsia="仿宋_GB2312" w:cs="仿宋"/>
          <w:color w:val="000000"/>
          <w:sz w:val="32"/>
          <w:szCs w:val="32"/>
          <w:shd w:val="clear" w:color="auto" w:fill="FFFFFF"/>
        </w:rPr>
        <w:t>4.</w:t>
      </w:r>
      <w:r>
        <w:rPr>
          <w:rFonts w:hint="eastAsia" w:ascii="仿宋_GB2312" w:hAnsi="仿宋" w:eastAsia="仿宋_GB2312" w:cs="仿宋"/>
          <w:color w:val="000000"/>
          <w:sz w:val="32"/>
          <w:szCs w:val="32"/>
          <w:shd w:val="clear" w:color="auto" w:fill="FFFFFF"/>
        </w:rPr>
        <w:t>社区</w:t>
      </w:r>
      <w:r>
        <w:rPr>
          <w:rFonts w:ascii="仿宋_GB2312" w:hAnsi="仿宋" w:eastAsia="仿宋_GB2312" w:cs="仿宋"/>
          <w:color w:val="000000"/>
          <w:sz w:val="32"/>
          <w:szCs w:val="32"/>
          <w:shd w:val="clear" w:color="auto" w:fill="FFFFFF"/>
        </w:rPr>
        <w:t>15</w:t>
      </w:r>
      <w:r>
        <w:rPr>
          <w:rFonts w:hint="eastAsia" w:ascii="仿宋_GB2312" w:hAnsi="仿宋" w:eastAsia="仿宋_GB2312" w:cs="仿宋"/>
          <w:color w:val="000000"/>
          <w:sz w:val="32"/>
          <w:szCs w:val="32"/>
          <w:shd w:val="clear" w:color="auto" w:fill="FFFFFF"/>
        </w:rPr>
        <w:t>分钟健身圈</w:t>
      </w:r>
      <w:r>
        <w:rPr>
          <w:rFonts w:ascii="仿宋_GB2312" w:hAnsi="仿宋" w:eastAsia="仿宋_GB2312" w:cs="仿宋"/>
          <w:color w:val="000000"/>
          <w:sz w:val="32"/>
          <w:szCs w:val="32"/>
          <w:shd w:val="clear" w:color="auto" w:fill="FFFFFF"/>
        </w:rPr>
        <w:t>/</w:t>
      </w:r>
      <w:r>
        <w:rPr>
          <w:rFonts w:hint="eastAsia" w:ascii="仿宋_GB2312" w:hAnsi="仿宋" w:eastAsia="仿宋_GB2312" w:cs="仿宋"/>
          <w:color w:val="000000"/>
          <w:sz w:val="32"/>
          <w:szCs w:val="32"/>
          <w:shd w:val="clear" w:color="auto" w:fill="FFFFFF"/>
        </w:rPr>
        <w:t>农村行政村体育设施覆盖率达到</w:t>
      </w:r>
      <w:r>
        <w:rPr>
          <w:rFonts w:ascii="仿宋_GB2312" w:hAnsi="仿宋" w:eastAsia="仿宋_GB2312" w:cs="仿宋"/>
          <w:color w:val="000000"/>
          <w:sz w:val="32"/>
          <w:szCs w:val="32"/>
          <w:shd w:val="clear" w:color="auto" w:fill="FFFFFF"/>
        </w:rPr>
        <w:t>100%</w:t>
      </w:r>
      <w:r>
        <w:rPr>
          <w:rFonts w:hint="eastAsia" w:ascii="仿宋_GB2312" w:hAnsi="仿宋" w:eastAsia="仿宋_GB2312" w:cs="仿宋"/>
          <w:color w:val="000000"/>
          <w:sz w:val="32"/>
          <w:szCs w:val="32"/>
          <w:shd w:val="clear" w:color="auto" w:fill="FFFFFF"/>
        </w:rPr>
        <w:t>，健身设备完好率</w:t>
      </w:r>
      <w:r>
        <w:rPr>
          <w:rFonts w:ascii="仿宋_GB2312" w:hAnsi="仿宋" w:eastAsia="仿宋_GB2312" w:cs="仿宋"/>
          <w:color w:val="000000"/>
          <w:sz w:val="32"/>
          <w:szCs w:val="32"/>
          <w:shd w:val="clear" w:color="auto" w:fill="FFFFFF"/>
        </w:rPr>
        <w:t>100%</w:t>
      </w:r>
      <w:r>
        <w:rPr>
          <w:rFonts w:hint="eastAsia" w:ascii="仿宋_GB2312" w:hAnsi="仿宋" w:eastAsia="仿宋_GB2312" w:cs="仿宋"/>
          <w:color w:val="000000"/>
          <w:sz w:val="32"/>
          <w:szCs w:val="32"/>
          <w:shd w:val="clear" w:color="auto" w:fill="FFFFFF"/>
        </w:rPr>
        <w:t>，人均体育场地面积达</w:t>
      </w:r>
      <w:r>
        <w:rPr>
          <w:rFonts w:ascii="仿宋_GB2312" w:hAnsi="仿宋" w:eastAsia="仿宋_GB2312" w:cs="仿宋"/>
          <w:color w:val="000000"/>
          <w:sz w:val="32"/>
          <w:szCs w:val="32"/>
          <w:shd w:val="clear" w:color="auto" w:fill="FFFFFF"/>
        </w:rPr>
        <w:t>2</w:t>
      </w:r>
      <w:r>
        <w:rPr>
          <w:rFonts w:hint="eastAsia" w:ascii="仿宋_GB2312" w:hAnsi="仿宋" w:eastAsia="仿宋_GB2312" w:cs="仿宋"/>
          <w:color w:val="000000"/>
          <w:sz w:val="32"/>
          <w:szCs w:val="32"/>
          <w:shd w:val="clear" w:color="auto" w:fill="FFFFFF"/>
        </w:rPr>
        <w:t>平米；公共体育场地、设施免费或低收费开放比例达到</w:t>
      </w:r>
      <w:r>
        <w:rPr>
          <w:rFonts w:ascii="仿宋_GB2312" w:hAnsi="仿宋" w:eastAsia="仿宋_GB2312" w:cs="仿宋"/>
          <w:color w:val="000000"/>
          <w:sz w:val="32"/>
          <w:szCs w:val="32"/>
          <w:shd w:val="clear" w:color="auto" w:fill="FFFFFF"/>
        </w:rPr>
        <w:t>100%</w:t>
      </w:r>
      <w:r>
        <w:rPr>
          <w:rFonts w:hint="eastAsia" w:ascii="仿宋_GB2312" w:hAnsi="仿宋" w:eastAsia="仿宋_GB2312" w:cs="仿宋"/>
          <w:color w:val="000000"/>
          <w:sz w:val="32"/>
          <w:szCs w:val="32"/>
          <w:shd w:val="clear" w:color="auto" w:fill="FFFFFF"/>
        </w:rPr>
        <w:t>，有条件的单位免费或低收费开放比例≥</w:t>
      </w:r>
      <w:r>
        <w:rPr>
          <w:rFonts w:ascii="仿宋_GB2312" w:hAnsi="仿宋" w:eastAsia="仿宋_GB2312" w:cs="仿宋"/>
          <w:color w:val="000000"/>
          <w:sz w:val="32"/>
          <w:szCs w:val="32"/>
          <w:shd w:val="clear" w:color="auto" w:fill="FFFFFF"/>
        </w:rPr>
        <w:t>30%</w:t>
      </w:r>
      <w:r>
        <w:rPr>
          <w:rFonts w:hint="eastAsia" w:ascii="仿宋_GB2312" w:hAnsi="仿宋" w:eastAsia="仿宋_GB2312" w:cs="仿宋"/>
          <w:color w:val="000000"/>
          <w:sz w:val="32"/>
          <w:szCs w:val="32"/>
          <w:shd w:val="clear" w:color="auto" w:fill="FFFFFF"/>
        </w:rPr>
        <w:t>；机关、企事业单位开展工间健身活动，组织符合单位特点的健身和竞赛活动，单位覆盖率≥</w:t>
      </w:r>
      <w:r>
        <w:rPr>
          <w:rFonts w:ascii="仿宋_GB2312" w:hAnsi="仿宋" w:eastAsia="仿宋_GB2312" w:cs="仿宋"/>
          <w:color w:val="000000"/>
          <w:sz w:val="32"/>
          <w:szCs w:val="32"/>
          <w:shd w:val="clear" w:color="auto" w:fill="FFFFFF"/>
        </w:rPr>
        <w:t>80%</w:t>
      </w:r>
      <w:r>
        <w:rPr>
          <w:rFonts w:hint="eastAsia" w:ascii="仿宋_GB2312" w:hAnsi="仿宋" w:eastAsia="仿宋_GB2312" w:cs="仿宋"/>
          <w:color w:val="000000"/>
          <w:sz w:val="32"/>
          <w:szCs w:val="32"/>
          <w:shd w:val="clear" w:color="auto" w:fill="FFFFFF"/>
        </w:rPr>
        <w:t>。</w:t>
      </w:r>
    </w:p>
    <w:p>
      <w:pPr>
        <w:spacing w:line="560" w:lineRule="exact"/>
        <w:ind w:firstLine="640" w:firstLineChars="200"/>
        <w:rPr>
          <w:rFonts w:ascii="仿宋_GB2312" w:hAnsi="仿宋" w:eastAsia="仿宋_GB2312" w:cs="仿宋"/>
          <w:color w:val="000000"/>
          <w:sz w:val="32"/>
          <w:szCs w:val="32"/>
          <w:shd w:val="clear" w:color="auto" w:fill="FFFFFF"/>
        </w:rPr>
      </w:pPr>
      <w:r>
        <w:rPr>
          <w:rFonts w:ascii="仿宋_GB2312" w:hAnsi="仿宋" w:eastAsia="仿宋_GB2312" w:cs="仿宋"/>
          <w:color w:val="000000"/>
          <w:sz w:val="32"/>
          <w:szCs w:val="32"/>
          <w:shd w:val="clear" w:color="auto" w:fill="FFFFFF"/>
        </w:rPr>
        <w:t>5.</w:t>
      </w:r>
      <w:r>
        <w:rPr>
          <w:rFonts w:hint="eastAsia" w:ascii="仿宋_GB2312" w:hAnsi="仿宋" w:eastAsia="仿宋_GB2312" w:cs="仿宋"/>
          <w:color w:val="000000"/>
          <w:sz w:val="32"/>
          <w:szCs w:val="32"/>
          <w:shd w:val="clear" w:color="auto" w:fill="FFFFFF"/>
        </w:rPr>
        <w:t>实施青少年体育活动促进计划，提高经常参加体育锻炼人口比例，中小学生每天锻炼</w:t>
      </w:r>
      <w:r>
        <w:rPr>
          <w:rFonts w:ascii="仿宋_GB2312" w:hAnsi="仿宋" w:eastAsia="仿宋_GB2312" w:cs="仿宋"/>
          <w:color w:val="000000"/>
          <w:sz w:val="32"/>
          <w:szCs w:val="32"/>
          <w:shd w:val="clear" w:color="auto" w:fill="FFFFFF"/>
        </w:rPr>
        <w:t>1</w:t>
      </w:r>
      <w:r>
        <w:rPr>
          <w:rFonts w:hint="eastAsia" w:ascii="仿宋_GB2312" w:hAnsi="仿宋" w:eastAsia="仿宋_GB2312" w:cs="仿宋"/>
          <w:color w:val="000000"/>
          <w:sz w:val="32"/>
          <w:szCs w:val="32"/>
          <w:shd w:val="clear" w:color="auto" w:fill="FFFFFF"/>
        </w:rPr>
        <w:t>小时比例达</w:t>
      </w:r>
      <w:r>
        <w:rPr>
          <w:rFonts w:ascii="仿宋_GB2312" w:hAnsi="仿宋" w:eastAsia="仿宋_GB2312" w:cs="仿宋"/>
          <w:color w:val="000000"/>
          <w:sz w:val="32"/>
          <w:szCs w:val="32"/>
          <w:shd w:val="clear" w:color="auto" w:fill="FFFFFF"/>
        </w:rPr>
        <w:t>100%</w:t>
      </w:r>
      <w:r>
        <w:rPr>
          <w:rFonts w:hint="eastAsia" w:ascii="仿宋_GB2312" w:hAnsi="仿宋" w:eastAsia="仿宋_GB2312" w:cs="仿宋"/>
          <w:color w:val="000000"/>
          <w:sz w:val="32"/>
          <w:szCs w:val="32"/>
          <w:shd w:val="clear" w:color="auto" w:fill="FFFFFF"/>
        </w:rPr>
        <w:t>，国家学生体质健康标准达标优良率≥</w:t>
      </w:r>
      <w:r>
        <w:rPr>
          <w:rFonts w:ascii="仿宋_GB2312" w:hAnsi="仿宋" w:eastAsia="仿宋_GB2312" w:cs="仿宋"/>
          <w:color w:val="000000"/>
          <w:sz w:val="32"/>
          <w:szCs w:val="32"/>
          <w:shd w:val="clear" w:color="auto" w:fill="FFFFFF"/>
        </w:rPr>
        <w:t>50%</w:t>
      </w:r>
      <w:r>
        <w:rPr>
          <w:rFonts w:hint="eastAsia" w:ascii="仿宋_GB2312" w:hAnsi="仿宋" w:eastAsia="仿宋_GB2312" w:cs="仿宋"/>
          <w:color w:val="000000"/>
          <w:sz w:val="32"/>
          <w:szCs w:val="32"/>
          <w:shd w:val="clear" w:color="auto" w:fill="FFFFFF"/>
        </w:rPr>
        <w:t>；经常参加体育锻炼人口比例≥</w:t>
      </w:r>
      <w:r>
        <w:rPr>
          <w:rFonts w:ascii="仿宋_GB2312" w:hAnsi="仿宋" w:eastAsia="仿宋_GB2312" w:cs="仿宋"/>
          <w:color w:val="000000"/>
          <w:sz w:val="32"/>
          <w:szCs w:val="32"/>
          <w:shd w:val="clear" w:color="auto" w:fill="FFFFFF"/>
        </w:rPr>
        <w:t>40%</w:t>
      </w:r>
      <w:r>
        <w:rPr>
          <w:rFonts w:hint="eastAsia" w:ascii="仿宋_GB2312" w:hAnsi="仿宋" w:eastAsia="仿宋_GB2312" w:cs="仿宋"/>
          <w:color w:val="000000"/>
          <w:sz w:val="32"/>
          <w:szCs w:val="32"/>
          <w:shd w:val="clear" w:color="auto" w:fill="FFFFFF"/>
        </w:rPr>
        <w:t>。</w:t>
      </w:r>
    </w:p>
    <w:p>
      <w:pPr>
        <w:spacing w:line="560" w:lineRule="exact"/>
        <w:ind w:firstLine="640" w:firstLineChars="200"/>
        <w:rPr>
          <w:rFonts w:ascii="仿宋_GB2312" w:hAnsi="仿宋" w:eastAsia="仿宋_GB2312" w:cs="仿宋"/>
          <w:color w:val="000000"/>
          <w:sz w:val="32"/>
          <w:szCs w:val="32"/>
          <w:shd w:val="clear" w:color="auto" w:fill="FFFFFF"/>
        </w:rPr>
      </w:pPr>
      <w:r>
        <w:rPr>
          <w:rFonts w:ascii="仿宋_GB2312" w:hAnsi="仿宋" w:eastAsia="仿宋_GB2312" w:cs="仿宋"/>
          <w:color w:val="000000"/>
          <w:sz w:val="32"/>
          <w:szCs w:val="32"/>
          <w:shd w:val="clear" w:color="auto" w:fill="FFFFFF"/>
        </w:rPr>
        <w:t>6.</w:t>
      </w:r>
      <w:r>
        <w:rPr>
          <w:rFonts w:hint="eastAsia" w:ascii="仿宋_GB2312" w:hAnsi="仿宋" w:eastAsia="仿宋_GB2312" w:cs="仿宋"/>
          <w:color w:val="000000"/>
          <w:sz w:val="32"/>
          <w:szCs w:val="32"/>
          <w:shd w:val="clear" w:color="auto" w:fill="FFFFFF"/>
        </w:rPr>
        <w:t>辖区室内公共场所、工作场所和公共交通工具设置禁烟警语和标识；制定禁止烟草广告的政策文件；持续无烟党政机关、无烟医疗卫生机构、无烟学校建设；要求辖区各级医疗机构开展简短戒烟服务培训，二级及以上医疗机构提供简短戒烟服务，逐步降低辖区</w:t>
      </w:r>
      <w:r>
        <w:rPr>
          <w:rFonts w:ascii="仿宋_GB2312" w:hAnsi="仿宋" w:eastAsia="仿宋_GB2312" w:cs="仿宋"/>
          <w:color w:val="000000"/>
          <w:sz w:val="32"/>
          <w:szCs w:val="32"/>
          <w:shd w:val="clear" w:color="auto" w:fill="FFFFFF"/>
        </w:rPr>
        <w:t>15</w:t>
      </w:r>
      <w:r>
        <w:rPr>
          <w:rFonts w:hint="eastAsia" w:ascii="仿宋_GB2312" w:hAnsi="仿宋" w:eastAsia="仿宋_GB2312" w:cs="仿宋"/>
          <w:color w:val="000000"/>
          <w:sz w:val="32"/>
          <w:szCs w:val="32"/>
          <w:shd w:val="clear" w:color="auto" w:fill="FFFFFF"/>
        </w:rPr>
        <w:t>岁以上成年人吸烟率。无烟草广告覆盖率</w:t>
      </w:r>
      <w:r>
        <w:rPr>
          <w:rFonts w:ascii="仿宋_GB2312" w:hAnsi="仿宋" w:eastAsia="仿宋_GB2312" w:cs="仿宋"/>
          <w:color w:val="000000"/>
          <w:sz w:val="32"/>
          <w:szCs w:val="32"/>
          <w:shd w:val="clear" w:color="auto" w:fill="FFFFFF"/>
        </w:rPr>
        <w:t>100%</w:t>
      </w:r>
      <w:r>
        <w:rPr>
          <w:rFonts w:hint="eastAsia" w:ascii="仿宋_GB2312" w:hAnsi="仿宋" w:eastAsia="仿宋_GB2312" w:cs="仿宋"/>
          <w:color w:val="000000"/>
          <w:sz w:val="32"/>
          <w:szCs w:val="32"/>
          <w:shd w:val="clear" w:color="auto" w:fill="FFFFFF"/>
        </w:rPr>
        <w:t>；建设无烟党政机关、无烟医疗卫生机构、无烟学校覆盖率均达</w:t>
      </w:r>
      <w:r>
        <w:rPr>
          <w:rFonts w:ascii="仿宋_GB2312" w:hAnsi="仿宋" w:eastAsia="仿宋_GB2312" w:cs="仿宋"/>
          <w:color w:val="000000"/>
          <w:sz w:val="32"/>
          <w:szCs w:val="32"/>
          <w:shd w:val="clear" w:color="auto" w:fill="FFFFFF"/>
        </w:rPr>
        <w:t>100%</w:t>
      </w:r>
      <w:r>
        <w:rPr>
          <w:rFonts w:hint="eastAsia" w:ascii="仿宋_GB2312" w:hAnsi="仿宋" w:eastAsia="仿宋_GB2312" w:cs="仿宋"/>
          <w:color w:val="000000"/>
          <w:sz w:val="32"/>
          <w:szCs w:val="32"/>
          <w:shd w:val="clear" w:color="auto" w:fill="FFFFFF"/>
        </w:rPr>
        <w:t>；开展简短戒烟服务培训的医疗机构覆盖率≥</w:t>
      </w:r>
      <w:r>
        <w:rPr>
          <w:rFonts w:ascii="仿宋_GB2312" w:hAnsi="仿宋" w:eastAsia="仿宋_GB2312" w:cs="仿宋"/>
          <w:color w:val="000000"/>
          <w:sz w:val="32"/>
          <w:szCs w:val="32"/>
          <w:shd w:val="clear" w:color="auto" w:fill="FFFFFF"/>
        </w:rPr>
        <w:t>80%</w:t>
      </w:r>
      <w:r>
        <w:rPr>
          <w:rFonts w:hint="eastAsia" w:ascii="仿宋_GB2312" w:hAnsi="仿宋" w:eastAsia="仿宋_GB2312" w:cs="仿宋"/>
          <w:color w:val="000000"/>
          <w:sz w:val="32"/>
          <w:szCs w:val="32"/>
          <w:shd w:val="clear" w:color="auto" w:fill="FFFFFF"/>
        </w:rPr>
        <w:t>，提供简短戒烟服务的医疗机构覆盖率</w:t>
      </w:r>
      <w:r>
        <w:rPr>
          <w:rFonts w:ascii="仿宋_GB2312" w:hAnsi="仿宋" w:eastAsia="仿宋_GB2312" w:cs="仿宋"/>
          <w:color w:val="000000"/>
          <w:sz w:val="32"/>
          <w:szCs w:val="32"/>
          <w:shd w:val="clear" w:color="auto" w:fill="FFFFFF"/>
        </w:rPr>
        <w:t>100%</w:t>
      </w:r>
      <w:r>
        <w:rPr>
          <w:rFonts w:hint="eastAsia" w:ascii="仿宋_GB2312" w:hAnsi="仿宋" w:eastAsia="仿宋_GB2312" w:cs="仿宋"/>
          <w:color w:val="000000"/>
          <w:sz w:val="32"/>
          <w:szCs w:val="32"/>
          <w:shd w:val="clear" w:color="auto" w:fill="FFFFFF"/>
        </w:rPr>
        <w:t>；</w:t>
      </w:r>
      <w:r>
        <w:rPr>
          <w:rFonts w:ascii="仿宋_GB2312" w:hAnsi="仿宋" w:eastAsia="仿宋_GB2312" w:cs="仿宋"/>
          <w:color w:val="000000"/>
          <w:sz w:val="32"/>
          <w:szCs w:val="32"/>
          <w:shd w:val="clear" w:color="auto" w:fill="FFFFFF"/>
        </w:rPr>
        <w:t>15</w:t>
      </w:r>
      <w:r>
        <w:rPr>
          <w:rFonts w:hint="eastAsia" w:ascii="仿宋_GB2312" w:hAnsi="仿宋" w:eastAsia="仿宋_GB2312" w:cs="仿宋"/>
          <w:color w:val="000000"/>
          <w:sz w:val="32"/>
          <w:szCs w:val="32"/>
          <w:shd w:val="clear" w:color="auto" w:fill="FFFFFF"/>
        </w:rPr>
        <w:t>岁及以上人群吸烟率低于</w:t>
      </w:r>
      <w:r>
        <w:rPr>
          <w:rFonts w:ascii="仿宋_GB2312" w:hAnsi="仿宋" w:eastAsia="仿宋_GB2312" w:cs="仿宋"/>
          <w:color w:val="000000"/>
          <w:sz w:val="32"/>
          <w:szCs w:val="32"/>
          <w:shd w:val="clear" w:color="auto" w:fill="FFFFFF"/>
        </w:rPr>
        <w:t>20%</w:t>
      </w:r>
      <w:r>
        <w:rPr>
          <w:rFonts w:hint="eastAsia" w:ascii="仿宋_GB2312" w:hAnsi="仿宋" w:eastAsia="仿宋_GB2312" w:cs="仿宋"/>
          <w:color w:val="000000"/>
          <w:sz w:val="32"/>
          <w:szCs w:val="32"/>
          <w:shd w:val="clear" w:color="auto" w:fill="FFFFFF"/>
        </w:rPr>
        <w:t>并逐年下降，</w:t>
      </w:r>
      <w:r>
        <w:rPr>
          <w:rFonts w:ascii="仿宋_GB2312" w:hAnsi="仿宋" w:eastAsia="仿宋_GB2312" w:cs="仿宋"/>
          <w:color w:val="000000"/>
          <w:sz w:val="32"/>
          <w:szCs w:val="32"/>
          <w:shd w:val="clear" w:color="auto" w:fill="FFFFFF"/>
        </w:rPr>
        <w:t>5</w:t>
      </w:r>
      <w:r>
        <w:rPr>
          <w:rFonts w:hint="eastAsia" w:ascii="仿宋_GB2312" w:hAnsi="仿宋" w:eastAsia="仿宋_GB2312" w:cs="仿宋"/>
          <w:color w:val="000000"/>
          <w:sz w:val="32"/>
          <w:szCs w:val="32"/>
          <w:shd w:val="clear" w:color="auto" w:fill="FFFFFF"/>
        </w:rPr>
        <w:t>年降低</w:t>
      </w:r>
      <w:r>
        <w:rPr>
          <w:rFonts w:ascii="仿宋_GB2312" w:hAnsi="仿宋" w:eastAsia="仿宋_GB2312" w:cs="仿宋"/>
          <w:color w:val="000000"/>
          <w:sz w:val="32"/>
          <w:szCs w:val="32"/>
          <w:shd w:val="clear" w:color="auto" w:fill="FFFFFF"/>
        </w:rPr>
        <w:t>10%</w:t>
      </w:r>
      <w:r>
        <w:rPr>
          <w:rFonts w:hint="eastAsia" w:ascii="仿宋_GB2312" w:hAnsi="仿宋" w:eastAsia="仿宋_GB2312" w:cs="仿宋"/>
          <w:color w:val="000000"/>
          <w:sz w:val="32"/>
          <w:szCs w:val="32"/>
          <w:shd w:val="clear" w:color="auto" w:fill="FFFFFF"/>
        </w:rPr>
        <w:t>以上。</w:t>
      </w:r>
    </w:p>
    <w:p>
      <w:pPr>
        <w:spacing w:line="560" w:lineRule="exact"/>
        <w:ind w:firstLine="640" w:firstLineChars="200"/>
        <w:rPr>
          <w:rFonts w:ascii="楷体_GB2312" w:hAnsi="仿宋" w:eastAsia="楷体_GB2312" w:cs="仿宋"/>
          <w:color w:val="000000"/>
          <w:sz w:val="32"/>
          <w:szCs w:val="32"/>
          <w:shd w:val="clear" w:color="auto" w:fill="FFFFFF"/>
        </w:rPr>
      </w:pPr>
      <w:r>
        <w:rPr>
          <w:rFonts w:hint="eastAsia" w:ascii="楷体_GB2312" w:hAnsi="仿宋" w:eastAsia="楷体_GB2312" w:cs="仿宋"/>
          <w:color w:val="000000"/>
          <w:sz w:val="32"/>
          <w:szCs w:val="32"/>
          <w:shd w:val="clear" w:color="auto" w:fill="FFFFFF"/>
        </w:rPr>
        <w:t>（三）持续加强慢病防控队伍建设，逐步提升慢病防控管理能力</w:t>
      </w:r>
    </w:p>
    <w:p>
      <w:pPr>
        <w:spacing w:line="560" w:lineRule="exact"/>
        <w:ind w:firstLine="640" w:firstLineChars="200"/>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加强慢病防控队伍建设，完善慢病防控服务体系和分工明确、上下联动的工作机制，优化信息共享、互联互通等的工作机制，推进慢病防、治、管的整合；要求二级以上医院配备公卫专业人员，履行相应的公卫职责，基层医疗卫生机构加强公卫服务能力建设，承担所在区域慢病防控工作。开展多层次三级慢病防控专业技术培训每年不少于</w:t>
      </w:r>
      <w:r>
        <w:rPr>
          <w:rFonts w:ascii="仿宋_GB2312" w:hAnsi="仿宋" w:eastAsia="仿宋_GB2312" w:cs="仿宋"/>
          <w:color w:val="000000"/>
          <w:sz w:val="32"/>
          <w:szCs w:val="32"/>
          <w:shd w:val="clear" w:color="auto" w:fill="FFFFFF"/>
        </w:rPr>
        <w:t>2</w:t>
      </w:r>
      <w:r>
        <w:rPr>
          <w:rFonts w:hint="eastAsia" w:ascii="仿宋_GB2312" w:hAnsi="仿宋" w:eastAsia="仿宋_GB2312" w:cs="仿宋"/>
          <w:color w:val="000000"/>
          <w:sz w:val="32"/>
          <w:szCs w:val="32"/>
          <w:shd w:val="clear" w:color="auto" w:fill="FFFFFF"/>
        </w:rPr>
        <w:t>次；疾控、医院对基层医疗机构建立技术指导和对口资源合作关系。</w:t>
      </w:r>
    </w:p>
    <w:p>
      <w:pPr>
        <w:spacing w:line="560" w:lineRule="exact"/>
        <w:ind w:firstLine="640" w:firstLineChars="200"/>
        <w:rPr>
          <w:rFonts w:ascii="楷体_GB2312" w:hAnsi="仿宋" w:eastAsia="楷体_GB2312" w:cs="仿宋"/>
          <w:color w:val="000000"/>
          <w:sz w:val="32"/>
          <w:szCs w:val="32"/>
          <w:shd w:val="clear" w:color="auto" w:fill="FFFFFF"/>
        </w:rPr>
      </w:pPr>
      <w:r>
        <w:rPr>
          <w:rFonts w:hint="eastAsia" w:ascii="楷体_GB2312" w:hAnsi="仿宋" w:eastAsia="楷体_GB2312" w:cs="仿宋"/>
          <w:color w:val="000000"/>
          <w:sz w:val="32"/>
          <w:szCs w:val="32"/>
          <w:shd w:val="clear" w:color="auto" w:fill="FFFFFF"/>
        </w:rPr>
        <w:t>（四）部门联动多措并举，提升居民健康素养</w:t>
      </w:r>
    </w:p>
    <w:p>
      <w:pPr>
        <w:spacing w:line="560" w:lineRule="exact"/>
        <w:ind w:firstLine="640" w:firstLineChars="200"/>
        <w:rPr>
          <w:rFonts w:ascii="仿宋_GB2312" w:hAnsi="仿宋" w:eastAsia="仿宋_GB2312" w:cs="仿宋"/>
          <w:color w:val="000000"/>
          <w:sz w:val="32"/>
          <w:szCs w:val="32"/>
          <w:shd w:val="clear" w:color="auto" w:fill="FFFFFF"/>
        </w:rPr>
      </w:pPr>
      <w:r>
        <w:rPr>
          <w:rFonts w:ascii="仿宋_GB2312" w:hAnsi="仿宋" w:eastAsia="仿宋_GB2312" w:cs="仿宋"/>
          <w:color w:val="000000"/>
          <w:sz w:val="32"/>
          <w:szCs w:val="32"/>
          <w:shd w:val="clear" w:color="auto" w:fill="FFFFFF"/>
        </w:rPr>
        <w:t>1.</w:t>
      </w:r>
      <w:r>
        <w:rPr>
          <w:rFonts w:hint="eastAsia" w:ascii="仿宋_GB2312" w:hAnsi="仿宋" w:eastAsia="仿宋_GB2312" w:cs="仿宋"/>
          <w:color w:val="000000"/>
          <w:sz w:val="32"/>
          <w:szCs w:val="32"/>
          <w:shd w:val="clear" w:color="auto" w:fill="FFFFFF"/>
        </w:rPr>
        <w:t>利用主流媒体和互联网等新媒体广泛开展慢病防治和健康教育宣传，每月不少于</w:t>
      </w:r>
      <w:r>
        <w:rPr>
          <w:rFonts w:ascii="仿宋_GB2312" w:hAnsi="仿宋" w:eastAsia="仿宋_GB2312" w:cs="仿宋"/>
          <w:color w:val="000000"/>
          <w:sz w:val="32"/>
          <w:szCs w:val="32"/>
          <w:shd w:val="clear" w:color="auto" w:fill="FFFFFF"/>
        </w:rPr>
        <w:t>2</w:t>
      </w:r>
      <w:r>
        <w:rPr>
          <w:rFonts w:hint="eastAsia" w:ascii="仿宋_GB2312" w:hAnsi="仿宋" w:eastAsia="仿宋_GB2312" w:cs="仿宋"/>
          <w:color w:val="000000"/>
          <w:sz w:val="32"/>
          <w:szCs w:val="32"/>
          <w:shd w:val="clear" w:color="auto" w:fill="FFFFFF"/>
        </w:rPr>
        <w:t>次；建立医疗机构健康教育和健康促进的绩效考核机制；每年至少开展</w:t>
      </w:r>
      <w:r>
        <w:rPr>
          <w:rFonts w:ascii="仿宋_GB2312" w:hAnsi="仿宋" w:eastAsia="仿宋_GB2312" w:cs="仿宋"/>
          <w:color w:val="000000"/>
          <w:sz w:val="32"/>
          <w:szCs w:val="32"/>
          <w:shd w:val="clear" w:color="auto" w:fill="FFFFFF"/>
        </w:rPr>
        <w:t>6</w:t>
      </w:r>
      <w:r>
        <w:rPr>
          <w:rFonts w:hint="eastAsia" w:ascii="仿宋_GB2312" w:hAnsi="仿宋" w:eastAsia="仿宋_GB2312" w:cs="仿宋"/>
          <w:color w:val="000000"/>
          <w:sz w:val="32"/>
          <w:szCs w:val="32"/>
          <w:shd w:val="clear" w:color="auto" w:fill="FFFFFF"/>
        </w:rPr>
        <w:t>次围绕全国肿瘤防治宣传周、世界无烟日、全国高血压日、世界卒中日、联合国糖尿病日、世界慢阻肺日等形式多样的健康教育与健康促进宣传活动。幼儿园、中小学校健康开设健康教育课覆盖率达</w:t>
      </w:r>
      <w:r>
        <w:rPr>
          <w:rFonts w:ascii="仿宋_GB2312" w:hAnsi="仿宋" w:eastAsia="仿宋_GB2312" w:cs="仿宋"/>
          <w:color w:val="000000"/>
          <w:sz w:val="32"/>
          <w:szCs w:val="32"/>
          <w:shd w:val="clear" w:color="auto" w:fill="FFFFFF"/>
        </w:rPr>
        <w:t>100%</w:t>
      </w:r>
      <w:r>
        <w:rPr>
          <w:rFonts w:hint="eastAsia" w:ascii="仿宋_GB2312" w:hAnsi="仿宋" w:eastAsia="仿宋_GB2312" w:cs="仿宋"/>
          <w:color w:val="000000"/>
          <w:sz w:val="32"/>
          <w:szCs w:val="32"/>
          <w:shd w:val="clear" w:color="auto" w:fill="FFFFFF"/>
        </w:rPr>
        <w:t>，涵盖营养均衡、口腔保健、健康体重、视力保护、心理健康伤害预防（溺水、烧烫伤）等内容，每学期以班级为单位，课程≥</w:t>
      </w:r>
      <w:r>
        <w:rPr>
          <w:rFonts w:ascii="仿宋_GB2312" w:hAnsi="仿宋" w:eastAsia="仿宋_GB2312" w:cs="仿宋"/>
          <w:color w:val="000000"/>
          <w:sz w:val="32"/>
          <w:szCs w:val="32"/>
          <w:shd w:val="clear" w:color="auto" w:fill="FFFFFF"/>
        </w:rPr>
        <w:t>6</w:t>
      </w:r>
      <w:r>
        <w:rPr>
          <w:rFonts w:hint="eastAsia" w:ascii="仿宋_GB2312" w:hAnsi="仿宋" w:eastAsia="仿宋_GB2312" w:cs="仿宋"/>
          <w:color w:val="000000"/>
          <w:sz w:val="32"/>
          <w:szCs w:val="32"/>
          <w:shd w:val="clear" w:color="auto" w:fill="FFFFFF"/>
        </w:rPr>
        <w:t>学时。寄宿制中小学校或</w:t>
      </w:r>
      <w:r>
        <w:rPr>
          <w:rFonts w:ascii="仿宋_GB2312" w:hAnsi="仿宋" w:eastAsia="仿宋_GB2312" w:cs="仿宋"/>
          <w:color w:val="000000"/>
          <w:sz w:val="32"/>
          <w:szCs w:val="32"/>
          <w:shd w:val="clear" w:color="auto" w:fill="FFFFFF"/>
        </w:rPr>
        <w:t>600</w:t>
      </w:r>
      <w:r>
        <w:rPr>
          <w:rFonts w:hint="eastAsia" w:ascii="仿宋_GB2312" w:hAnsi="仿宋" w:eastAsia="仿宋_GB2312" w:cs="仿宋"/>
          <w:color w:val="000000"/>
          <w:sz w:val="32"/>
          <w:szCs w:val="32"/>
          <w:shd w:val="clear" w:color="auto" w:fill="FFFFFF"/>
        </w:rPr>
        <w:t>名学生以上的非寄宿制中小学校配备专职卫技人员、</w:t>
      </w:r>
      <w:r>
        <w:rPr>
          <w:rFonts w:ascii="仿宋_GB2312" w:hAnsi="仿宋" w:eastAsia="仿宋_GB2312" w:cs="仿宋"/>
          <w:color w:val="000000"/>
          <w:sz w:val="32"/>
          <w:szCs w:val="32"/>
          <w:shd w:val="clear" w:color="auto" w:fill="FFFFFF"/>
        </w:rPr>
        <w:t>600</w:t>
      </w:r>
      <w:r>
        <w:rPr>
          <w:rFonts w:hint="eastAsia" w:ascii="仿宋_GB2312" w:hAnsi="仿宋" w:eastAsia="仿宋_GB2312" w:cs="仿宋"/>
          <w:color w:val="000000"/>
          <w:sz w:val="32"/>
          <w:szCs w:val="32"/>
          <w:shd w:val="clear" w:color="auto" w:fill="FFFFFF"/>
        </w:rPr>
        <w:t>名学生以下的非寄宿制中小学校配备专兼职保健教师或卫技人员的比例达到</w:t>
      </w:r>
      <w:r>
        <w:rPr>
          <w:rFonts w:ascii="仿宋_GB2312" w:hAnsi="仿宋" w:eastAsia="仿宋_GB2312" w:cs="仿宋"/>
          <w:color w:val="000000"/>
          <w:sz w:val="32"/>
          <w:szCs w:val="32"/>
          <w:shd w:val="clear" w:color="auto" w:fill="FFFFFF"/>
        </w:rPr>
        <w:t>70%</w:t>
      </w:r>
      <w:r>
        <w:rPr>
          <w:rFonts w:hint="eastAsia" w:ascii="仿宋_GB2312" w:hAnsi="仿宋" w:eastAsia="仿宋_GB2312" w:cs="仿宋"/>
          <w:color w:val="000000"/>
          <w:sz w:val="32"/>
          <w:szCs w:val="32"/>
          <w:shd w:val="clear" w:color="auto" w:fill="FFFFFF"/>
        </w:rPr>
        <w:t>。配备专兼职心理健康工作人员的中小学校比例达到</w:t>
      </w:r>
      <w:r>
        <w:rPr>
          <w:rFonts w:ascii="仿宋_GB2312" w:hAnsi="仿宋" w:eastAsia="仿宋_GB2312" w:cs="仿宋"/>
          <w:color w:val="000000"/>
          <w:sz w:val="32"/>
          <w:szCs w:val="32"/>
          <w:shd w:val="clear" w:color="auto" w:fill="FFFFFF"/>
        </w:rPr>
        <w:t>80%</w:t>
      </w:r>
      <w:r>
        <w:rPr>
          <w:rFonts w:hint="eastAsia" w:ascii="仿宋_GB2312" w:hAnsi="仿宋" w:eastAsia="仿宋_GB2312" w:cs="仿宋"/>
          <w:color w:val="000000"/>
          <w:sz w:val="32"/>
          <w:szCs w:val="32"/>
          <w:shd w:val="clear" w:color="auto" w:fill="FFFFFF"/>
        </w:rPr>
        <w:t>。</w:t>
      </w:r>
    </w:p>
    <w:p>
      <w:pPr>
        <w:spacing w:line="560" w:lineRule="exact"/>
        <w:ind w:firstLine="640" w:firstLineChars="200"/>
        <w:rPr>
          <w:rFonts w:ascii="仿宋_GB2312" w:hAnsi="仿宋" w:eastAsia="仿宋_GB2312" w:cs="仿宋"/>
          <w:color w:val="000000"/>
          <w:sz w:val="32"/>
          <w:szCs w:val="32"/>
          <w:shd w:val="clear" w:color="auto" w:fill="FFFFFF"/>
        </w:rPr>
      </w:pPr>
      <w:r>
        <w:rPr>
          <w:rFonts w:ascii="仿宋_GB2312" w:hAnsi="仿宋" w:eastAsia="仿宋_GB2312" w:cs="仿宋"/>
          <w:color w:val="000000"/>
          <w:sz w:val="32"/>
          <w:szCs w:val="32"/>
          <w:shd w:val="clear" w:color="auto" w:fill="FFFFFF"/>
        </w:rPr>
        <w:t>2.</w:t>
      </w:r>
      <w:r>
        <w:rPr>
          <w:rFonts w:hint="eastAsia" w:ascii="仿宋_GB2312" w:hAnsi="仿宋" w:eastAsia="仿宋_GB2312" w:cs="仿宋"/>
          <w:color w:val="000000"/>
          <w:sz w:val="32"/>
          <w:szCs w:val="32"/>
          <w:shd w:val="clear" w:color="auto" w:fill="FFFFFF"/>
        </w:rPr>
        <w:t>健康知识知晓率及健康素养水平：重点慢性病核心知识知晓率≥</w:t>
      </w:r>
      <w:r>
        <w:rPr>
          <w:rFonts w:ascii="仿宋_GB2312" w:hAnsi="仿宋" w:eastAsia="仿宋_GB2312" w:cs="仿宋"/>
          <w:color w:val="000000"/>
          <w:sz w:val="32"/>
          <w:szCs w:val="32"/>
          <w:shd w:val="clear" w:color="auto" w:fill="FFFFFF"/>
        </w:rPr>
        <w:t>70%</w:t>
      </w:r>
      <w:r>
        <w:rPr>
          <w:rFonts w:hint="eastAsia" w:ascii="仿宋_GB2312" w:hAnsi="仿宋" w:eastAsia="仿宋_GB2312" w:cs="仿宋"/>
          <w:color w:val="000000"/>
          <w:sz w:val="32"/>
          <w:szCs w:val="32"/>
          <w:shd w:val="clear" w:color="auto" w:fill="FFFFFF"/>
        </w:rPr>
        <w:t>；健康素养水平达到</w:t>
      </w:r>
      <w:r>
        <w:rPr>
          <w:rFonts w:ascii="仿宋_GB2312" w:hAnsi="仿宋" w:eastAsia="仿宋_GB2312" w:cs="仿宋"/>
          <w:color w:val="000000"/>
          <w:sz w:val="32"/>
          <w:szCs w:val="32"/>
          <w:shd w:val="clear" w:color="auto" w:fill="FFFFFF"/>
        </w:rPr>
        <w:t>25%</w:t>
      </w:r>
      <w:r>
        <w:rPr>
          <w:rFonts w:hint="eastAsia" w:ascii="仿宋_GB2312" w:hAnsi="仿宋" w:eastAsia="仿宋_GB2312" w:cs="仿宋"/>
          <w:color w:val="000000"/>
          <w:sz w:val="32"/>
          <w:szCs w:val="32"/>
          <w:shd w:val="clear" w:color="auto" w:fill="FFFFFF"/>
        </w:rPr>
        <w:t>。</w:t>
      </w:r>
    </w:p>
    <w:p>
      <w:pPr>
        <w:spacing w:line="560" w:lineRule="exact"/>
        <w:ind w:firstLine="640" w:firstLineChars="200"/>
        <w:rPr>
          <w:rFonts w:ascii="仿宋_GB2312" w:hAnsi="仿宋" w:eastAsia="仿宋_GB2312" w:cs="仿宋"/>
          <w:color w:val="000000"/>
          <w:sz w:val="32"/>
          <w:szCs w:val="32"/>
          <w:shd w:val="clear" w:color="auto" w:fill="FFFFFF"/>
        </w:rPr>
      </w:pPr>
      <w:r>
        <w:rPr>
          <w:rFonts w:ascii="仿宋_GB2312" w:hAnsi="仿宋" w:eastAsia="仿宋_GB2312" w:cs="仿宋"/>
          <w:color w:val="000000"/>
          <w:sz w:val="32"/>
          <w:szCs w:val="32"/>
          <w:shd w:val="clear" w:color="auto" w:fill="FFFFFF"/>
        </w:rPr>
        <w:t>3.</w:t>
      </w:r>
      <w:r>
        <w:rPr>
          <w:rFonts w:hint="eastAsia" w:ascii="仿宋_GB2312" w:hAnsi="仿宋" w:eastAsia="仿宋_GB2312" w:cs="仿宋"/>
          <w:color w:val="000000"/>
          <w:sz w:val="32"/>
          <w:szCs w:val="32"/>
          <w:shd w:val="clear" w:color="auto" w:fill="FFFFFF"/>
        </w:rPr>
        <w:t>每年至少开展</w:t>
      </w:r>
      <w:r>
        <w:rPr>
          <w:rFonts w:ascii="仿宋_GB2312" w:hAnsi="仿宋" w:eastAsia="仿宋_GB2312" w:cs="仿宋"/>
          <w:color w:val="000000"/>
          <w:sz w:val="32"/>
          <w:szCs w:val="32"/>
          <w:shd w:val="clear" w:color="auto" w:fill="FFFFFF"/>
        </w:rPr>
        <w:t>1</w:t>
      </w:r>
      <w:r>
        <w:rPr>
          <w:rFonts w:hint="eastAsia" w:ascii="仿宋_GB2312" w:hAnsi="仿宋" w:eastAsia="仿宋_GB2312" w:cs="仿宋"/>
          <w:color w:val="000000"/>
          <w:sz w:val="32"/>
          <w:szCs w:val="32"/>
          <w:shd w:val="clear" w:color="auto" w:fill="FFFFFF"/>
        </w:rPr>
        <w:t>次由社会团体组织和参与的集体性健身活动；组建</w:t>
      </w:r>
      <w:r>
        <w:rPr>
          <w:rFonts w:ascii="仿宋_GB2312" w:hAnsi="仿宋" w:eastAsia="仿宋_GB2312" w:cs="仿宋"/>
          <w:color w:val="000000"/>
          <w:sz w:val="32"/>
          <w:szCs w:val="32"/>
          <w:shd w:val="clear" w:color="auto" w:fill="FFFFFF"/>
        </w:rPr>
        <w:t>5</w:t>
      </w:r>
      <w:r>
        <w:rPr>
          <w:rFonts w:hint="eastAsia" w:ascii="仿宋_GB2312" w:hAnsi="仿宋" w:eastAsia="仿宋_GB2312" w:cs="仿宋"/>
          <w:color w:val="000000"/>
          <w:sz w:val="32"/>
          <w:szCs w:val="32"/>
          <w:shd w:val="clear" w:color="auto" w:fill="FFFFFF"/>
        </w:rPr>
        <w:t>个及以上的群众健身团体并配有体育指导员和志愿者；鼓励社区慢病患者积极参与社区自我健康管理活动，成立自我健康管理小组社区覆盖率≥</w:t>
      </w:r>
      <w:r>
        <w:rPr>
          <w:rFonts w:ascii="仿宋_GB2312" w:hAnsi="仿宋" w:eastAsia="仿宋_GB2312" w:cs="仿宋"/>
          <w:color w:val="000000"/>
          <w:sz w:val="32"/>
          <w:szCs w:val="32"/>
          <w:shd w:val="clear" w:color="auto" w:fill="FFFFFF"/>
        </w:rPr>
        <w:t>50%</w:t>
      </w:r>
      <w:r>
        <w:rPr>
          <w:rFonts w:hint="eastAsia" w:ascii="仿宋_GB2312" w:hAnsi="仿宋" w:eastAsia="仿宋_GB2312" w:cs="仿宋"/>
          <w:color w:val="000000"/>
          <w:sz w:val="32"/>
          <w:szCs w:val="32"/>
          <w:shd w:val="clear" w:color="auto" w:fill="FFFFFF"/>
        </w:rPr>
        <w:t>。</w:t>
      </w:r>
    </w:p>
    <w:p>
      <w:pPr>
        <w:spacing w:line="560" w:lineRule="exact"/>
        <w:ind w:firstLine="640" w:firstLineChars="200"/>
        <w:rPr>
          <w:rFonts w:ascii="楷体_GB2312" w:hAnsi="仿宋" w:eastAsia="楷体_GB2312" w:cs="仿宋"/>
          <w:color w:val="000000"/>
          <w:sz w:val="32"/>
          <w:szCs w:val="32"/>
          <w:shd w:val="clear" w:color="auto" w:fill="FFFFFF"/>
        </w:rPr>
      </w:pPr>
      <w:r>
        <w:rPr>
          <w:rFonts w:hint="eastAsia" w:ascii="楷体_GB2312" w:hAnsi="仿宋" w:eastAsia="楷体_GB2312" w:cs="仿宋"/>
          <w:color w:val="000000"/>
          <w:sz w:val="32"/>
          <w:szCs w:val="32"/>
          <w:shd w:val="clear" w:color="auto" w:fill="FFFFFF"/>
        </w:rPr>
        <w:t>（五）依托各项政策红利，实现慢病的全程管理</w:t>
      </w:r>
    </w:p>
    <w:p>
      <w:pPr>
        <w:spacing w:line="560" w:lineRule="exact"/>
        <w:ind w:firstLine="640" w:firstLineChars="200"/>
        <w:rPr>
          <w:rFonts w:ascii="仿宋_GB2312" w:hAnsi="仿宋" w:eastAsia="仿宋_GB2312" w:cs="仿宋"/>
          <w:color w:val="000000"/>
          <w:sz w:val="32"/>
          <w:szCs w:val="32"/>
          <w:shd w:val="clear" w:color="auto" w:fill="FFFFFF"/>
        </w:rPr>
      </w:pPr>
      <w:r>
        <w:rPr>
          <w:rFonts w:ascii="仿宋_GB2312" w:hAnsi="仿宋" w:eastAsia="仿宋_GB2312" w:cs="仿宋"/>
          <w:color w:val="000000"/>
          <w:sz w:val="32"/>
          <w:szCs w:val="32"/>
          <w:shd w:val="clear" w:color="auto" w:fill="FFFFFF"/>
        </w:rPr>
        <w:t>1.</w:t>
      </w:r>
      <w:r>
        <w:rPr>
          <w:rFonts w:hint="eastAsia" w:ascii="仿宋_GB2312" w:hAnsi="仿宋" w:eastAsia="仿宋_GB2312" w:cs="仿宋"/>
          <w:color w:val="000000"/>
          <w:sz w:val="32"/>
          <w:szCs w:val="32"/>
          <w:shd w:val="clear" w:color="auto" w:fill="FFFFFF"/>
        </w:rPr>
        <w:t>开展学生、老年人等重点人群和职工定期健康体检和健康指导；学生健康体检率≥</w:t>
      </w:r>
      <w:r>
        <w:rPr>
          <w:rFonts w:ascii="仿宋_GB2312" w:hAnsi="仿宋" w:eastAsia="仿宋_GB2312" w:cs="仿宋"/>
          <w:color w:val="000000"/>
          <w:sz w:val="32"/>
          <w:szCs w:val="32"/>
          <w:shd w:val="clear" w:color="auto" w:fill="FFFFFF"/>
        </w:rPr>
        <w:t>90%</w:t>
      </w:r>
      <w:r>
        <w:rPr>
          <w:rFonts w:hint="eastAsia" w:ascii="仿宋_GB2312" w:hAnsi="仿宋" w:eastAsia="仿宋_GB2312" w:cs="仿宋"/>
          <w:color w:val="000000"/>
          <w:sz w:val="32"/>
          <w:szCs w:val="32"/>
          <w:shd w:val="clear" w:color="auto" w:fill="FFFFFF"/>
        </w:rPr>
        <w:t>，学校对学生健康体检结果进行分析和反馈覆盖率≥</w:t>
      </w:r>
      <w:r>
        <w:rPr>
          <w:rFonts w:ascii="仿宋_GB2312" w:hAnsi="仿宋" w:eastAsia="仿宋_GB2312" w:cs="仿宋"/>
          <w:color w:val="000000"/>
          <w:sz w:val="32"/>
          <w:szCs w:val="32"/>
          <w:shd w:val="clear" w:color="auto" w:fill="FFFFFF"/>
        </w:rPr>
        <w:t>50%</w:t>
      </w:r>
      <w:r>
        <w:rPr>
          <w:rFonts w:hint="eastAsia" w:ascii="仿宋_GB2312" w:hAnsi="仿宋" w:eastAsia="仿宋_GB2312" w:cs="仿宋"/>
          <w:color w:val="000000"/>
          <w:sz w:val="32"/>
          <w:szCs w:val="32"/>
          <w:shd w:val="clear" w:color="auto" w:fill="FFFFFF"/>
        </w:rPr>
        <w:t>；</w:t>
      </w:r>
      <w:r>
        <w:rPr>
          <w:rFonts w:ascii="仿宋_GB2312" w:hAnsi="仿宋" w:eastAsia="仿宋_GB2312" w:cs="仿宋"/>
          <w:color w:val="000000"/>
          <w:sz w:val="32"/>
          <w:szCs w:val="32"/>
          <w:shd w:val="clear" w:color="auto" w:fill="FFFFFF"/>
        </w:rPr>
        <w:t>65</w:t>
      </w:r>
      <w:r>
        <w:rPr>
          <w:rFonts w:hint="eastAsia" w:ascii="仿宋_GB2312" w:hAnsi="仿宋" w:eastAsia="仿宋_GB2312" w:cs="仿宋"/>
          <w:color w:val="000000"/>
          <w:sz w:val="32"/>
          <w:szCs w:val="32"/>
          <w:shd w:val="clear" w:color="auto" w:fill="FFFFFF"/>
        </w:rPr>
        <w:t>岁及以上老年人健康体检率≥</w:t>
      </w:r>
      <w:r>
        <w:rPr>
          <w:rFonts w:ascii="仿宋_GB2312" w:hAnsi="仿宋" w:eastAsia="仿宋_GB2312" w:cs="仿宋"/>
          <w:color w:val="000000"/>
          <w:sz w:val="32"/>
          <w:szCs w:val="32"/>
          <w:shd w:val="clear" w:color="auto" w:fill="FFFFFF"/>
        </w:rPr>
        <w:t>90%</w:t>
      </w:r>
      <w:r>
        <w:rPr>
          <w:rFonts w:hint="eastAsia" w:ascii="仿宋_GB2312" w:hAnsi="仿宋" w:eastAsia="仿宋_GB2312" w:cs="仿宋"/>
          <w:color w:val="000000"/>
          <w:sz w:val="32"/>
          <w:szCs w:val="32"/>
          <w:shd w:val="clear" w:color="auto" w:fill="FFFFFF"/>
        </w:rPr>
        <w:t>；每</w:t>
      </w:r>
      <w:r>
        <w:rPr>
          <w:rFonts w:ascii="仿宋_GB2312" w:hAnsi="仿宋" w:eastAsia="仿宋_GB2312" w:cs="仿宋"/>
          <w:color w:val="000000"/>
          <w:sz w:val="32"/>
          <w:szCs w:val="32"/>
          <w:shd w:val="clear" w:color="auto" w:fill="FFFFFF"/>
        </w:rPr>
        <w:t>2</w:t>
      </w:r>
      <w:r>
        <w:rPr>
          <w:rFonts w:hint="eastAsia" w:ascii="仿宋_GB2312" w:hAnsi="仿宋" w:eastAsia="仿宋_GB2312" w:cs="仿宋"/>
          <w:color w:val="000000"/>
          <w:sz w:val="32"/>
          <w:szCs w:val="32"/>
          <w:shd w:val="clear" w:color="auto" w:fill="FFFFFF"/>
        </w:rPr>
        <w:t>年</w:t>
      </w:r>
      <w:r>
        <w:rPr>
          <w:rFonts w:ascii="仿宋_GB2312" w:hAnsi="仿宋" w:eastAsia="仿宋_GB2312" w:cs="仿宋"/>
          <w:color w:val="000000"/>
          <w:sz w:val="32"/>
          <w:szCs w:val="32"/>
          <w:shd w:val="clear" w:color="auto" w:fill="FFFFFF"/>
        </w:rPr>
        <w:t>1</w:t>
      </w:r>
      <w:r>
        <w:rPr>
          <w:rFonts w:hint="eastAsia" w:ascii="仿宋_GB2312" w:hAnsi="仿宋" w:eastAsia="仿宋_GB2312" w:cs="仿宋"/>
          <w:color w:val="000000"/>
          <w:sz w:val="32"/>
          <w:szCs w:val="32"/>
          <w:shd w:val="clear" w:color="auto" w:fill="FFFFFF"/>
        </w:rPr>
        <w:t>次体检并开展健康指导的机关事业单位和员工人数超</w:t>
      </w:r>
      <w:r>
        <w:rPr>
          <w:rFonts w:ascii="仿宋_GB2312" w:hAnsi="仿宋" w:eastAsia="仿宋_GB2312" w:cs="仿宋"/>
          <w:color w:val="000000"/>
          <w:sz w:val="32"/>
          <w:szCs w:val="32"/>
          <w:shd w:val="clear" w:color="auto" w:fill="FFFFFF"/>
        </w:rPr>
        <w:t>50</w:t>
      </w:r>
      <w:r>
        <w:rPr>
          <w:rFonts w:hint="eastAsia" w:ascii="仿宋_GB2312" w:hAnsi="仿宋" w:eastAsia="仿宋_GB2312" w:cs="仿宋"/>
          <w:color w:val="000000"/>
          <w:sz w:val="32"/>
          <w:szCs w:val="32"/>
          <w:shd w:val="clear" w:color="auto" w:fill="FFFFFF"/>
        </w:rPr>
        <w:t>人的企业覆盖率≥</w:t>
      </w:r>
      <w:r>
        <w:rPr>
          <w:rFonts w:ascii="仿宋_GB2312" w:hAnsi="仿宋" w:eastAsia="仿宋_GB2312" w:cs="仿宋"/>
          <w:color w:val="000000"/>
          <w:sz w:val="32"/>
          <w:szCs w:val="32"/>
          <w:shd w:val="clear" w:color="auto" w:fill="FFFFFF"/>
        </w:rPr>
        <w:t>50%</w:t>
      </w:r>
      <w:r>
        <w:rPr>
          <w:rFonts w:hint="eastAsia" w:ascii="仿宋_GB2312" w:hAnsi="仿宋" w:eastAsia="仿宋_GB2312" w:cs="仿宋"/>
          <w:color w:val="000000"/>
          <w:sz w:val="32"/>
          <w:szCs w:val="32"/>
          <w:shd w:val="clear" w:color="auto" w:fill="FFFFFF"/>
        </w:rPr>
        <w:t>。</w:t>
      </w:r>
    </w:p>
    <w:p>
      <w:pPr>
        <w:spacing w:line="560" w:lineRule="exact"/>
        <w:ind w:firstLine="640" w:firstLineChars="200"/>
        <w:rPr>
          <w:rFonts w:ascii="仿宋_GB2312" w:hAnsi="仿宋" w:eastAsia="仿宋_GB2312" w:cs="仿宋"/>
          <w:color w:val="000000"/>
          <w:sz w:val="32"/>
          <w:szCs w:val="32"/>
          <w:shd w:val="clear" w:color="auto" w:fill="FFFFFF"/>
        </w:rPr>
      </w:pPr>
      <w:r>
        <w:rPr>
          <w:rFonts w:ascii="仿宋_GB2312" w:hAnsi="仿宋" w:eastAsia="仿宋_GB2312" w:cs="仿宋"/>
          <w:color w:val="000000"/>
          <w:sz w:val="32"/>
          <w:szCs w:val="32"/>
          <w:shd w:val="clear" w:color="auto" w:fill="FFFFFF"/>
        </w:rPr>
        <w:t>2.</w:t>
      </w:r>
      <w:r>
        <w:rPr>
          <w:rFonts w:hint="eastAsia" w:ascii="仿宋_GB2312" w:hAnsi="仿宋" w:eastAsia="仿宋_GB2312" w:cs="仿宋"/>
          <w:color w:val="000000"/>
          <w:sz w:val="32"/>
          <w:szCs w:val="32"/>
          <w:shd w:val="clear" w:color="auto" w:fill="FFFFFF"/>
        </w:rPr>
        <w:t>慢性病控制、干预：医疗机构首诊测血压率达到</w:t>
      </w:r>
      <w:r>
        <w:rPr>
          <w:rFonts w:ascii="仿宋_GB2312" w:hAnsi="仿宋" w:eastAsia="仿宋_GB2312" w:cs="仿宋"/>
          <w:color w:val="000000"/>
          <w:sz w:val="32"/>
          <w:szCs w:val="32"/>
          <w:shd w:val="clear" w:color="auto" w:fill="FFFFFF"/>
        </w:rPr>
        <w:t>100%</w:t>
      </w:r>
      <w:r>
        <w:rPr>
          <w:rFonts w:hint="eastAsia" w:ascii="仿宋_GB2312" w:hAnsi="仿宋" w:eastAsia="仿宋_GB2312" w:cs="仿宋"/>
          <w:color w:val="000000"/>
          <w:sz w:val="32"/>
          <w:szCs w:val="32"/>
          <w:shd w:val="clear" w:color="auto" w:fill="FFFFFF"/>
        </w:rPr>
        <w:t>；开展心脑血管疾病、重点癌症、糖尿病、慢性阻塞性肺病等重大慢性病的报告筛查和早期诊断工作。具备血糖、血脂、简易肺功能测定和大便隐血检测</w:t>
      </w:r>
      <w:r>
        <w:rPr>
          <w:rFonts w:ascii="仿宋_GB2312" w:hAnsi="仿宋" w:eastAsia="仿宋_GB2312" w:cs="仿宋"/>
          <w:color w:val="000000"/>
          <w:sz w:val="32"/>
          <w:szCs w:val="32"/>
          <w:shd w:val="clear" w:color="auto" w:fill="FFFFFF"/>
        </w:rPr>
        <w:t>4</w:t>
      </w:r>
      <w:r>
        <w:rPr>
          <w:rFonts w:hint="eastAsia" w:ascii="仿宋_GB2312" w:hAnsi="仿宋" w:eastAsia="仿宋_GB2312" w:cs="仿宋"/>
          <w:color w:val="000000"/>
          <w:sz w:val="32"/>
          <w:szCs w:val="32"/>
          <w:shd w:val="clear" w:color="auto" w:fill="FFFFFF"/>
        </w:rPr>
        <w:t>种技术并提供服务的基层医疗机构覆盖率≥</w:t>
      </w:r>
      <w:r>
        <w:rPr>
          <w:rFonts w:ascii="仿宋_GB2312" w:hAnsi="仿宋" w:eastAsia="仿宋_GB2312" w:cs="仿宋"/>
          <w:color w:val="000000"/>
          <w:sz w:val="32"/>
          <w:szCs w:val="32"/>
          <w:shd w:val="clear" w:color="auto" w:fill="FFFFFF"/>
        </w:rPr>
        <w:t>70%</w:t>
      </w:r>
      <w:r>
        <w:rPr>
          <w:rFonts w:hint="eastAsia" w:ascii="仿宋_GB2312" w:hAnsi="仿宋" w:eastAsia="仿宋_GB2312" w:cs="仿宋"/>
          <w:color w:val="000000"/>
          <w:sz w:val="32"/>
          <w:szCs w:val="32"/>
          <w:shd w:val="clear" w:color="auto" w:fill="FFFFFF"/>
        </w:rPr>
        <w:t>；提高加强个人健康档案与体检信息利用，发现高危人群登记率</w:t>
      </w:r>
      <w:r>
        <w:rPr>
          <w:rFonts w:ascii="仿宋_GB2312" w:hAnsi="仿宋" w:eastAsia="仿宋_GB2312" w:cs="仿宋"/>
          <w:color w:val="000000"/>
          <w:sz w:val="32"/>
          <w:szCs w:val="32"/>
          <w:shd w:val="clear" w:color="auto" w:fill="FFFFFF"/>
        </w:rPr>
        <w:t>100%</w:t>
      </w:r>
      <w:r>
        <w:rPr>
          <w:rFonts w:hint="eastAsia" w:ascii="仿宋_GB2312" w:hAnsi="仿宋" w:eastAsia="仿宋_GB2312" w:cs="仿宋"/>
          <w:color w:val="000000"/>
          <w:sz w:val="32"/>
          <w:szCs w:val="32"/>
          <w:shd w:val="clear" w:color="auto" w:fill="FFFFFF"/>
        </w:rPr>
        <w:t>、纳入健康管理率≥</w:t>
      </w:r>
      <w:r>
        <w:rPr>
          <w:rFonts w:ascii="仿宋_GB2312" w:hAnsi="仿宋" w:eastAsia="仿宋_GB2312" w:cs="仿宋"/>
          <w:color w:val="000000"/>
          <w:sz w:val="32"/>
          <w:szCs w:val="32"/>
          <w:shd w:val="clear" w:color="auto" w:fill="FFFFFF"/>
        </w:rPr>
        <w:t>30%</w:t>
      </w:r>
      <w:r>
        <w:rPr>
          <w:rFonts w:hint="eastAsia" w:ascii="仿宋_GB2312" w:hAnsi="仿宋" w:eastAsia="仿宋_GB2312" w:cs="仿宋"/>
          <w:color w:val="000000"/>
          <w:sz w:val="32"/>
          <w:szCs w:val="32"/>
          <w:shd w:val="clear" w:color="auto" w:fill="FFFFFF"/>
        </w:rPr>
        <w:t>。</w:t>
      </w:r>
    </w:p>
    <w:p>
      <w:pPr>
        <w:spacing w:line="560" w:lineRule="exact"/>
        <w:rPr>
          <w:rFonts w:ascii="仿宋_GB2312" w:hAnsi="仿宋" w:eastAsia="仿宋_GB2312" w:cs="仿宋"/>
          <w:color w:val="000000"/>
          <w:sz w:val="32"/>
          <w:szCs w:val="32"/>
          <w:shd w:val="clear" w:color="auto" w:fill="FFFFFF"/>
        </w:rPr>
      </w:pPr>
      <w:r>
        <w:rPr>
          <w:rFonts w:ascii="仿宋_GB2312" w:hAnsi="仿宋" w:eastAsia="仿宋_GB2312" w:cs="仿宋"/>
          <w:color w:val="000000"/>
          <w:sz w:val="32"/>
          <w:szCs w:val="32"/>
          <w:shd w:val="clear" w:color="auto" w:fill="FFFFFF"/>
        </w:rPr>
        <w:t xml:space="preserve">   3.</w:t>
      </w:r>
      <w:r>
        <w:rPr>
          <w:rFonts w:hint="eastAsia" w:ascii="仿宋_GB2312" w:hAnsi="仿宋" w:eastAsia="仿宋_GB2312" w:cs="仿宋"/>
          <w:color w:val="000000"/>
          <w:sz w:val="32"/>
          <w:szCs w:val="32"/>
          <w:shd w:val="clear" w:color="auto" w:fill="FFFFFF"/>
        </w:rPr>
        <w:t>建立分级诊疗制度，依托信息平台实现分级诊疗，落实并开展高血压与糖尿病基层首诊、双向转诊、急慢分治、上下联动的分级诊疗服务，基层医疗机构门诊量占比≥</w:t>
      </w:r>
      <w:r>
        <w:rPr>
          <w:rFonts w:ascii="仿宋_GB2312" w:hAnsi="仿宋" w:eastAsia="仿宋_GB2312" w:cs="仿宋"/>
          <w:color w:val="000000"/>
          <w:sz w:val="32"/>
          <w:szCs w:val="32"/>
          <w:shd w:val="clear" w:color="auto" w:fill="FFFFFF"/>
        </w:rPr>
        <w:t>50%</w:t>
      </w:r>
      <w:r>
        <w:rPr>
          <w:rFonts w:hint="eastAsia" w:ascii="仿宋_GB2312" w:hAnsi="仿宋" w:eastAsia="仿宋_GB2312" w:cs="仿宋"/>
          <w:color w:val="000000"/>
          <w:sz w:val="32"/>
          <w:szCs w:val="32"/>
          <w:shd w:val="clear" w:color="auto" w:fill="FFFFFF"/>
        </w:rPr>
        <w:t>；家庭医生签约服务覆盖率高于本省平均水平</w:t>
      </w:r>
      <w:r>
        <w:rPr>
          <w:rFonts w:ascii="仿宋_GB2312" w:hAnsi="仿宋" w:eastAsia="仿宋_GB2312" w:cs="仿宋"/>
          <w:color w:val="000000"/>
          <w:sz w:val="32"/>
          <w:szCs w:val="32"/>
          <w:shd w:val="clear" w:color="auto" w:fill="FFFFFF"/>
        </w:rPr>
        <w:t>30%</w:t>
      </w:r>
      <w:r>
        <w:rPr>
          <w:rFonts w:hint="eastAsia" w:ascii="仿宋_GB2312" w:hAnsi="仿宋" w:eastAsia="仿宋_GB2312" w:cs="仿宋"/>
          <w:color w:val="000000"/>
          <w:sz w:val="32"/>
          <w:szCs w:val="32"/>
          <w:shd w:val="clear" w:color="auto" w:fill="FFFFFF"/>
        </w:rPr>
        <w:t>以上。</w:t>
      </w:r>
      <w:r>
        <w:rPr>
          <w:rFonts w:ascii="仿宋_GB2312" w:hAnsi="仿宋" w:eastAsia="仿宋_GB2312" w:cs="仿宋"/>
          <w:color w:val="000000"/>
          <w:sz w:val="32"/>
          <w:szCs w:val="32"/>
          <w:shd w:val="clear" w:color="auto" w:fill="FFFFFF"/>
        </w:rPr>
        <w:t>30</w:t>
      </w:r>
      <w:r>
        <w:rPr>
          <w:rFonts w:hint="eastAsia" w:ascii="仿宋_GB2312" w:hAnsi="仿宋" w:eastAsia="仿宋_GB2312" w:cs="仿宋"/>
          <w:color w:val="000000"/>
          <w:sz w:val="32"/>
          <w:szCs w:val="32"/>
          <w:shd w:val="clear" w:color="auto" w:fill="FFFFFF"/>
        </w:rPr>
        <w:t>岁以上高血压知晓率≥</w:t>
      </w:r>
      <w:r>
        <w:rPr>
          <w:rFonts w:ascii="仿宋_GB2312" w:hAnsi="仿宋" w:eastAsia="仿宋_GB2312" w:cs="仿宋"/>
          <w:color w:val="000000"/>
          <w:sz w:val="32"/>
          <w:szCs w:val="32"/>
          <w:shd w:val="clear" w:color="auto" w:fill="FFFFFF"/>
        </w:rPr>
        <w:t>60%</w:t>
      </w:r>
      <w:r>
        <w:rPr>
          <w:rFonts w:hint="eastAsia" w:ascii="仿宋_GB2312" w:hAnsi="仿宋" w:eastAsia="仿宋_GB2312" w:cs="仿宋"/>
          <w:color w:val="000000"/>
          <w:sz w:val="32"/>
          <w:szCs w:val="32"/>
          <w:shd w:val="clear" w:color="auto" w:fill="FFFFFF"/>
        </w:rPr>
        <w:t>，</w:t>
      </w:r>
      <w:r>
        <w:rPr>
          <w:rFonts w:ascii="仿宋_GB2312" w:hAnsi="仿宋" w:eastAsia="仿宋_GB2312" w:cs="仿宋"/>
          <w:color w:val="000000"/>
          <w:sz w:val="32"/>
          <w:szCs w:val="32"/>
          <w:shd w:val="clear" w:color="auto" w:fill="FFFFFF"/>
        </w:rPr>
        <w:t>18</w:t>
      </w:r>
      <w:r>
        <w:rPr>
          <w:rFonts w:hint="eastAsia" w:ascii="仿宋_GB2312" w:hAnsi="仿宋" w:eastAsia="仿宋_GB2312" w:cs="仿宋"/>
          <w:color w:val="000000"/>
          <w:sz w:val="32"/>
          <w:szCs w:val="32"/>
          <w:shd w:val="clear" w:color="auto" w:fill="FFFFFF"/>
        </w:rPr>
        <w:t>岁以上糖尿病知晓率≥</w:t>
      </w:r>
      <w:r>
        <w:rPr>
          <w:rFonts w:ascii="仿宋_GB2312" w:hAnsi="仿宋" w:eastAsia="仿宋_GB2312" w:cs="仿宋"/>
          <w:color w:val="000000"/>
          <w:sz w:val="32"/>
          <w:szCs w:val="32"/>
          <w:shd w:val="clear" w:color="auto" w:fill="FFFFFF"/>
        </w:rPr>
        <w:t>55%</w:t>
      </w:r>
      <w:r>
        <w:rPr>
          <w:rFonts w:hint="eastAsia" w:ascii="仿宋_GB2312" w:hAnsi="仿宋" w:eastAsia="仿宋_GB2312" w:cs="仿宋"/>
          <w:color w:val="000000"/>
          <w:sz w:val="32"/>
          <w:szCs w:val="32"/>
          <w:shd w:val="clear" w:color="auto" w:fill="FFFFFF"/>
        </w:rPr>
        <w:t>；</w:t>
      </w:r>
      <w:r>
        <w:rPr>
          <w:rFonts w:ascii="仿宋_GB2312" w:hAnsi="仿宋" w:eastAsia="仿宋_GB2312" w:cs="仿宋"/>
          <w:color w:val="000000"/>
          <w:sz w:val="32"/>
          <w:szCs w:val="32"/>
          <w:shd w:val="clear" w:color="auto" w:fill="FFFFFF"/>
        </w:rPr>
        <w:t>35</w:t>
      </w:r>
      <w:r>
        <w:rPr>
          <w:rFonts w:hint="eastAsia" w:ascii="仿宋_GB2312" w:hAnsi="仿宋" w:eastAsia="仿宋_GB2312" w:cs="仿宋"/>
          <w:color w:val="000000"/>
          <w:sz w:val="32"/>
          <w:szCs w:val="32"/>
          <w:shd w:val="clear" w:color="auto" w:fill="FFFFFF"/>
        </w:rPr>
        <w:t>岁以上高血压患者、糖尿病患者管理率均达到</w:t>
      </w:r>
      <w:r>
        <w:rPr>
          <w:rFonts w:ascii="仿宋_GB2312" w:hAnsi="仿宋" w:eastAsia="仿宋_GB2312" w:cs="仿宋"/>
          <w:color w:val="000000"/>
          <w:sz w:val="32"/>
          <w:szCs w:val="32"/>
          <w:shd w:val="clear" w:color="auto" w:fill="FFFFFF"/>
        </w:rPr>
        <w:t>70%</w:t>
      </w:r>
      <w:r>
        <w:rPr>
          <w:rFonts w:hint="eastAsia" w:ascii="仿宋_GB2312" w:hAnsi="仿宋" w:eastAsia="仿宋_GB2312" w:cs="仿宋"/>
          <w:color w:val="000000"/>
          <w:sz w:val="32"/>
          <w:szCs w:val="32"/>
          <w:shd w:val="clear" w:color="auto" w:fill="FFFFFF"/>
        </w:rPr>
        <w:t>；高血压患者、糖尿病患者血压、血糖控制率均高于全省平均水平</w:t>
      </w:r>
      <w:r>
        <w:rPr>
          <w:rFonts w:ascii="仿宋_GB2312" w:hAnsi="仿宋" w:eastAsia="仿宋_GB2312" w:cs="仿宋"/>
          <w:color w:val="000000"/>
          <w:sz w:val="32"/>
          <w:szCs w:val="32"/>
          <w:shd w:val="clear" w:color="auto" w:fill="FFFFFF"/>
        </w:rPr>
        <w:t>5%</w:t>
      </w:r>
      <w:r>
        <w:rPr>
          <w:rFonts w:hint="eastAsia" w:ascii="仿宋_GB2312" w:hAnsi="仿宋" w:eastAsia="仿宋_GB2312" w:cs="仿宋"/>
          <w:color w:val="000000"/>
          <w:sz w:val="32"/>
          <w:szCs w:val="32"/>
          <w:shd w:val="clear" w:color="auto" w:fill="FFFFFF"/>
        </w:rPr>
        <w:t>及以上。</w:t>
      </w:r>
    </w:p>
    <w:p>
      <w:pPr>
        <w:spacing w:line="560" w:lineRule="exact"/>
        <w:ind w:firstLine="640" w:firstLineChars="200"/>
        <w:rPr>
          <w:rFonts w:ascii="仿宋_GB2312" w:hAnsi="仿宋" w:eastAsia="仿宋_GB2312" w:cs="仿宋"/>
          <w:color w:val="000000"/>
          <w:sz w:val="32"/>
          <w:szCs w:val="32"/>
          <w:shd w:val="clear" w:color="auto" w:fill="FFFFFF"/>
        </w:rPr>
      </w:pPr>
      <w:r>
        <w:rPr>
          <w:rFonts w:ascii="仿宋_GB2312" w:hAnsi="仿宋" w:eastAsia="仿宋_GB2312" w:cs="仿宋"/>
          <w:color w:val="000000"/>
          <w:sz w:val="32"/>
          <w:szCs w:val="32"/>
          <w:shd w:val="clear" w:color="auto" w:fill="FFFFFF"/>
        </w:rPr>
        <w:t>4.</w:t>
      </w:r>
      <w:r>
        <w:rPr>
          <w:rFonts w:hint="eastAsia" w:ascii="仿宋_GB2312" w:hAnsi="仿宋" w:eastAsia="仿宋_GB2312" w:cs="仿宋"/>
          <w:color w:val="000000"/>
          <w:sz w:val="32"/>
          <w:szCs w:val="32"/>
          <w:shd w:val="clear" w:color="auto" w:fill="FFFFFF"/>
        </w:rPr>
        <w:t>建立区域卫健信息平台，专业公卫机构、二级及以上医院和基层医疗卫生机构之间实现互联互通和信息共享，实现电子健康档案和电子病历的连续记录和共享，应用互联网</w:t>
      </w:r>
      <w:r>
        <w:rPr>
          <w:rFonts w:ascii="仿宋_GB2312" w:hAnsi="仿宋" w:eastAsia="仿宋_GB2312" w:cs="仿宋"/>
          <w:color w:val="000000"/>
          <w:sz w:val="32"/>
          <w:szCs w:val="32"/>
          <w:shd w:val="clear" w:color="auto" w:fill="FFFFFF"/>
        </w:rPr>
        <w:t>+</w:t>
      </w:r>
      <w:r>
        <w:rPr>
          <w:rFonts w:hint="eastAsia" w:ascii="仿宋_GB2312" w:hAnsi="仿宋" w:eastAsia="仿宋_GB2312" w:cs="仿宋"/>
          <w:color w:val="000000"/>
          <w:sz w:val="32"/>
          <w:szCs w:val="32"/>
          <w:shd w:val="clear" w:color="auto" w:fill="FFFFFF"/>
        </w:rPr>
        <w:t>技术和健康大数据为签约服务的患者提供健康管理和诊疗服务。</w:t>
      </w:r>
    </w:p>
    <w:p>
      <w:pPr>
        <w:spacing w:line="560" w:lineRule="exact"/>
        <w:ind w:firstLine="640" w:firstLineChars="200"/>
        <w:rPr>
          <w:rFonts w:ascii="仿宋_GB2312" w:hAnsi="仿宋" w:eastAsia="仿宋_GB2312" w:cs="仿宋"/>
          <w:color w:val="000000"/>
          <w:sz w:val="32"/>
          <w:szCs w:val="32"/>
          <w:shd w:val="clear" w:color="auto" w:fill="FFFFFF"/>
        </w:rPr>
      </w:pPr>
      <w:r>
        <w:rPr>
          <w:rFonts w:ascii="仿宋_GB2312" w:hAnsi="仿宋" w:eastAsia="仿宋_GB2312" w:cs="仿宋"/>
          <w:color w:val="000000"/>
          <w:sz w:val="32"/>
          <w:szCs w:val="32"/>
          <w:shd w:val="clear" w:color="auto" w:fill="FFFFFF"/>
        </w:rPr>
        <w:t>5.</w:t>
      </w:r>
      <w:r>
        <w:rPr>
          <w:rFonts w:hint="eastAsia" w:ascii="仿宋_GB2312" w:hAnsi="仿宋" w:eastAsia="仿宋_GB2312" w:cs="仿宋"/>
          <w:color w:val="000000"/>
          <w:sz w:val="32"/>
          <w:szCs w:val="32"/>
          <w:shd w:val="clear" w:color="auto" w:fill="FFFFFF"/>
        </w:rPr>
        <w:t>发挥中医药慢病健康管理作用：各基层医疗机构建设中医综合服务区，提供</w:t>
      </w:r>
      <w:r>
        <w:rPr>
          <w:rFonts w:ascii="仿宋_GB2312" w:hAnsi="仿宋" w:eastAsia="仿宋_GB2312" w:cs="仿宋"/>
          <w:color w:val="000000"/>
          <w:sz w:val="32"/>
          <w:szCs w:val="32"/>
          <w:shd w:val="clear" w:color="auto" w:fill="FFFFFF"/>
        </w:rPr>
        <w:t>6</w:t>
      </w:r>
      <w:r>
        <w:rPr>
          <w:rFonts w:hint="eastAsia" w:ascii="仿宋_GB2312" w:hAnsi="仿宋" w:eastAsia="仿宋_GB2312" w:cs="仿宋"/>
          <w:color w:val="000000"/>
          <w:sz w:val="32"/>
          <w:szCs w:val="32"/>
          <w:shd w:val="clear" w:color="auto" w:fill="FFFFFF"/>
        </w:rPr>
        <w:t>类以上中医非药物疗法的比例达到</w:t>
      </w:r>
      <w:r>
        <w:rPr>
          <w:rFonts w:ascii="仿宋_GB2312" w:hAnsi="仿宋" w:eastAsia="仿宋_GB2312" w:cs="仿宋"/>
          <w:color w:val="000000"/>
          <w:sz w:val="32"/>
          <w:szCs w:val="32"/>
          <w:shd w:val="clear" w:color="auto" w:fill="FFFFFF"/>
        </w:rPr>
        <w:t>100%</w:t>
      </w:r>
      <w:r>
        <w:rPr>
          <w:rFonts w:hint="eastAsia" w:ascii="仿宋_GB2312" w:hAnsi="仿宋" w:eastAsia="仿宋_GB2312" w:cs="仿宋"/>
          <w:color w:val="000000"/>
          <w:sz w:val="32"/>
          <w:szCs w:val="32"/>
          <w:shd w:val="clear" w:color="auto" w:fill="FFFFFF"/>
        </w:rPr>
        <w:t>，社区卫生服务站</w:t>
      </w:r>
      <w:r>
        <w:rPr>
          <w:rFonts w:ascii="仿宋_GB2312" w:hAnsi="仿宋" w:eastAsia="仿宋_GB2312" w:cs="仿宋"/>
          <w:color w:val="000000"/>
          <w:sz w:val="32"/>
          <w:szCs w:val="32"/>
          <w:shd w:val="clear" w:color="auto" w:fill="FFFFFF"/>
        </w:rPr>
        <w:t>/</w:t>
      </w:r>
      <w:r>
        <w:rPr>
          <w:rFonts w:hint="eastAsia" w:ascii="仿宋_GB2312" w:hAnsi="仿宋" w:eastAsia="仿宋_GB2312" w:cs="仿宋"/>
          <w:color w:val="000000"/>
          <w:sz w:val="32"/>
          <w:szCs w:val="32"/>
          <w:shd w:val="clear" w:color="auto" w:fill="FFFFFF"/>
        </w:rPr>
        <w:t>村卫生室提供</w:t>
      </w:r>
      <w:r>
        <w:rPr>
          <w:rFonts w:ascii="仿宋_GB2312" w:hAnsi="仿宋" w:eastAsia="仿宋_GB2312" w:cs="仿宋"/>
          <w:color w:val="000000"/>
          <w:sz w:val="32"/>
          <w:szCs w:val="32"/>
          <w:shd w:val="clear" w:color="auto" w:fill="FFFFFF"/>
        </w:rPr>
        <w:t>4</w:t>
      </w:r>
      <w:r>
        <w:rPr>
          <w:rFonts w:hint="eastAsia" w:ascii="仿宋_GB2312" w:hAnsi="仿宋" w:eastAsia="仿宋_GB2312" w:cs="仿宋"/>
          <w:color w:val="000000"/>
          <w:sz w:val="32"/>
          <w:szCs w:val="32"/>
          <w:shd w:val="clear" w:color="auto" w:fill="FFFFFF"/>
        </w:rPr>
        <w:t>类以上中医非药物疗法的比例达到</w:t>
      </w:r>
      <w:r>
        <w:rPr>
          <w:rFonts w:ascii="仿宋_GB2312" w:hAnsi="仿宋" w:eastAsia="仿宋_GB2312" w:cs="仿宋"/>
          <w:color w:val="000000"/>
          <w:sz w:val="32"/>
          <w:szCs w:val="32"/>
          <w:shd w:val="clear" w:color="auto" w:fill="FFFFFF"/>
        </w:rPr>
        <w:t>70%</w:t>
      </w:r>
      <w:r>
        <w:rPr>
          <w:rFonts w:hint="eastAsia" w:ascii="仿宋_GB2312" w:hAnsi="仿宋" w:eastAsia="仿宋_GB2312" w:cs="仿宋"/>
          <w:color w:val="000000"/>
          <w:sz w:val="32"/>
          <w:szCs w:val="32"/>
          <w:shd w:val="clear" w:color="auto" w:fill="FFFFFF"/>
        </w:rPr>
        <w:t>。宣传中医药养生保健知识，推广使用中医防治慢性病适宜技术，对</w:t>
      </w:r>
      <w:r>
        <w:rPr>
          <w:rFonts w:ascii="仿宋_GB2312" w:hAnsi="仿宋" w:eastAsia="仿宋_GB2312" w:cs="仿宋"/>
          <w:color w:val="000000"/>
          <w:sz w:val="32"/>
          <w:szCs w:val="32"/>
          <w:shd w:val="clear" w:color="auto" w:fill="FFFFFF"/>
        </w:rPr>
        <w:t>65</w:t>
      </w:r>
      <w:r>
        <w:rPr>
          <w:rFonts w:hint="eastAsia" w:ascii="仿宋_GB2312" w:hAnsi="仿宋" w:eastAsia="仿宋_GB2312" w:cs="仿宋"/>
          <w:color w:val="000000"/>
          <w:sz w:val="32"/>
          <w:szCs w:val="32"/>
          <w:shd w:val="clear" w:color="auto" w:fill="FFFFFF"/>
        </w:rPr>
        <w:t>岁以上老年人提供中医药健康管理。</w:t>
      </w:r>
    </w:p>
    <w:p>
      <w:pPr>
        <w:spacing w:line="560" w:lineRule="exact"/>
        <w:ind w:firstLine="640" w:firstLineChars="200"/>
        <w:rPr>
          <w:rFonts w:ascii="仿宋_GB2312" w:hAnsi="仿宋" w:eastAsia="仿宋_GB2312" w:cs="仿宋"/>
          <w:color w:val="000000"/>
          <w:sz w:val="32"/>
          <w:szCs w:val="32"/>
          <w:shd w:val="clear" w:color="auto" w:fill="FFFFFF"/>
        </w:rPr>
      </w:pPr>
      <w:r>
        <w:rPr>
          <w:rFonts w:ascii="仿宋_GB2312" w:hAnsi="仿宋" w:eastAsia="仿宋_GB2312" w:cs="仿宋"/>
          <w:color w:val="000000"/>
          <w:sz w:val="32"/>
          <w:szCs w:val="32"/>
          <w:shd w:val="clear" w:color="auto" w:fill="FFFFFF"/>
        </w:rPr>
        <w:t>6.</w:t>
      </w:r>
      <w:r>
        <w:rPr>
          <w:rFonts w:hint="eastAsia" w:ascii="仿宋_GB2312" w:hAnsi="仿宋" w:eastAsia="仿宋_GB2312" w:cs="仿宋"/>
          <w:color w:val="000000"/>
          <w:sz w:val="32"/>
          <w:szCs w:val="32"/>
          <w:shd w:val="clear" w:color="auto" w:fill="FFFFFF"/>
        </w:rPr>
        <w:t>落实基本医疗保险、大病保险和医疗救助重大疾病保障等相关政策，提高慢病患者的医疗保障水平和残疾人、流动人口、低收入等人群医疗救助水平。</w:t>
      </w:r>
    </w:p>
    <w:p>
      <w:pPr>
        <w:spacing w:line="560" w:lineRule="exact"/>
        <w:ind w:firstLine="640" w:firstLineChars="200"/>
        <w:rPr>
          <w:rFonts w:ascii="仿宋_GB2312" w:hAnsi="仿宋" w:eastAsia="仿宋_GB2312" w:cs="仿宋"/>
          <w:color w:val="000000"/>
          <w:sz w:val="32"/>
          <w:szCs w:val="32"/>
          <w:shd w:val="clear" w:color="auto" w:fill="FFFFFF"/>
        </w:rPr>
      </w:pPr>
      <w:r>
        <w:rPr>
          <w:rFonts w:ascii="仿宋_GB2312" w:hAnsi="仿宋" w:eastAsia="仿宋_GB2312" w:cs="仿宋"/>
          <w:color w:val="000000"/>
          <w:sz w:val="32"/>
          <w:szCs w:val="32"/>
          <w:shd w:val="clear" w:color="auto" w:fill="FFFFFF"/>
        </w:rPr>
        <w:t>7.</w:t>
      </w:r>
      <w:r>
        <w:rPr>
          <w:rFonts w:hint="eastAsia" w:ascii="仿宋_GB2312" w:hAnsi="仿宋" w:eastAsia="仿宋_GB2312" w:cs="仿宋"/>
          <w:color w:val="000000"/>
          <w:sz w:val="32"/>
          <w:szCs w:val="32"/>
          <w:shd w:val="clear" w:color="auto" w:fill="FFFFFF"/>
        </w:rPr>
        <w:t>基层医疗卫生服务机构按基本药物目录配置，设立药物绿色通道，配备使用医保报销药物。</w:t>
      </w:r>
    </w:p>
    <w:p>
      <w:pPr>
        <w:spacing w:line="560" w:lineRule="exact"/>
        <w:ind w:firstLine="640" w:firstLineChars="200"/>
        <w:rPr>
          <w:rFonts w:ascii="仿宋_GB2312" w:hAnsi="仿宋" w:eastAsia="仿宋_GB2312" w:cs="仿宋"/>
          <w:color w:val="000000"/>
          <w:sz w:val="32"/>
          <w:szCs w:val="32"/>
          <w:shd w:val="clear" w:color="auto" w:fill="FFFFFF"/>
        </w:rPr>
      </w:pPr>
      <w:r>
        <w:rPr>
          <w:rFonts w:ascii="仿宋_GB2312" w:hAnsi="仿宋" w:eastAsia="仿宋_GB2312" w:cs="仿宋"/>
          <w:color w:val="000000"/>
          <w:sz w:val="32"/>
          <w:szCs w:val="32"/>
          <w:shd w:val="clear" w:color="auto" w:fill="FFFFFF"/>
        </w:rPr>
        <w:t>8.</w:t>
      </w:r>
      <w:r>
        <w:rPr>
          <w:rFonts w:hint="eastAsia" w:ascii="仿宋_GB2312" w:hAnsi="仿宋" w:eastAsia="仿宋_GB2312" w:cs="仿宋"/>
          <w:color w:val="000000"/>
          <w:sz w:val="32"/>
          <w:szCs w:val="32"/>
          <w:shd w:val="clear" w:color="auto" w:fill="FFFFFF"/>
        </w:rPr>
        <w:t>推进慢病全程防治管理服务与居家养老、社区养老和机构养老服务融合；有效引进社会资本参与慢病防控，商业健康保险参与医疗救助，通过向社会力量购买服务为慢性病患者提供健康管理服务。每个街道均设有为老年人提供日间托养服务照料中心提供服务的社区养老机构比例达到</w:t>
      </w:r>
      <w:r>
        <w:rPr>
          <w:rFonts w:ascii="仿宋_GB2312" w:hAnsi="仿宋" w:eastAsia="仿宋_GB2312" w:cs="仿宋"/>
          <w:color w:val="000000"/>
          <w:sz w:val="32"/>
          <w:szCs w:val="32"/>
          <w:shd w:val="clear" w:color="auto" w:fill="FFFFFF"/>
        </w:rPr>
        <w:t>100%</w:t>
      </w:r>
      <w:r>
        <w:rPr>
          <w:rFonts w:hint="eastAsia" w:ascii="仿宋_GB2312" w:hAnsi="仿宋" w:eastAsia="仿宋_GB2312" w:cs="仿宋"/>
          <w:color w:val="000000"/>
          <w:sz w:val="32"/>
          <w:szCs w:val="32"/>
          <w:shd w:val="clear" w:color="auto" w:fill="FFFFFF"/>
        </w:rPr>
        <w:t>。设置老年医学科的二级及以上综合性医院比例达到</w:t>
      </w:r>
      <w:r>
        <w:rPr>
          <w:rFonts w:ascii="仿宋_GB2312" w:hAnsi="仿宋" w:eastAsia="仿宋_GB2312" w:cs="仿宋"/>
          <w:color w:val="000000"/>
          <w:sz w:val="32"/>
          <w:szCs w:val="32"/>
          <w:shd w:val="clear" w:color="auto" w:fill="FFFFFF"/>
        </w:rPr>
        <w:t>70%</w:t>
      </w:r>
      <w:r>
        <w:rPr>
          <w:rFonts w:hint="eastAsia" w:ascii="仿宋_GB2312" w:hAnsi="仿宋" w:eastAsia="仿宋_GB2312" w:cs="仿宋"/>
          <w:color w:val="000000"/>
          <w:sz w:val="32"/>
          <w:szCs w:val="32"/>
          <w:shd w:val="clear" w:color="auto" w:fill="FFFFFF"/>
        </w:rPr>
        <w:t>。</w:t>
      </w:r>
    </w:p>
    <w:p>
      <w:pPr>
        <w:spacing w:line="560" w:lineRule="exact"/>
        <w:ind w:firstLine="640" w:firstLineChars="200"/>
        <w:rPr>
          <w:rFonts w:ascii="楷体_GB2312" w:hAnsi="仿宋" w:eastAsia="楷体_GB2312" w:cs="仿宋"/>
          <w:color w:val="000000"/>
          <w:sz w:val="32"/>
          <w:szCs w:val="32"/>
          <w:shd w:val="clear" w:color="auto" w:fill="FFFFFF"/>
        </w:rPr>
      </w:pPr>
      <w:r>
        <w:rPr>
          <w:rFonts w:hint="eastAsia" w:ascii="楷体_GB2312" w:hAnsi="仿宋" w:eastAsia="楷体_GB2312" w:cs="仿宋"/>
          <w:color w:val="000000"/>
          <w:sz w:val="32"/>
          <w:szCs w:val="32"/>
          <w:shd w:val="clear" w:color="auto" w:fill="FFFFFF"/>
        </w:rPr>
        <w:t>（六）开展慢病监测和社会因素调查，评估慢病防控效果</w:t>
      </w:r>
    </w:p>
    <w:p>
      <w:pPr>
        <w:spacing w:line="560" w:lineRule="exact"/>
        <w:ind w:firstLine="640" w:firstLineChars="200"/>
        <w:rPr>
          <w:rFonts w:ascii="仿宋_GB2312" w:hAnsi="仿宋" w:eastAsia="仿宋_GB2312" w:cs="仿宋"/>
          <w:color w:val="000000"/>
          <w:sz w:val="32"/>
          <w:szCs w:val="32"/>
          <w:shd w:val="clear" w:color="auto" w:fill="FFFFFF"/>
        </w:rPr>
      </w:pPr>
      <w:r>
        <w:rPr>
          <w:rFonts w:ascii="仿宋_GB2312" w:hAnsi="仿宋" w:eastAsia="仿宋_GB2312" w:cs="仿宋"/>
          <w:color w:val="000000"/>
          <w:sz w:val="32"/>
          <w:szCs w:val="32"/>
          <w:shd w:val="clear" w:color="auto" w:fill="FFFFFF"/>
        </w:rPr>
        <w:t>1.</w:t>
      </w:r>
      <w:r>
        <w:rPr>
          <w:rFonts w:hint="eastAsia" w:ascii="仿宋_GB2312" w:hAnsi="仿宋" w:eastAsia="仿宋_GB2312" w:cs="仿宋"/>
          <w:color w:val="000000"/>
          <w:sz w:val="32"/>
          <w:szCs w:val="32"/>
          <w:shd w:val="clear" w:color="auto" w:fill="FFFFFF"/>
        </w:rPr>
        <w:t>规范开展各种监测：每</w:t>
      </w:r>
      <w:r>
        <w:rPr>
          <w:rFonts w:ascii="仿宋_GB2312" w:hAnsi="仿宋" w:eastAsia="仿宋_GB2312" w:cs="仿宋"/>
          <w:color w:val="000000"/>
          <w:sz w:val="32"/>
          <w:szCs w:val="32"/>
          <w:shd w:val="clear" w:color="auto" w:fill="FFFFFF"/>
        </w:rPr>
        <w:t>5</w:t>
      </w:r>
      <w:r>
        <w:rPr>
          <w:rFonts w:hint="eastAsia" w:ascii="仿宋_GB2312" w:hAnsi="仿宋" w:eastAsia="仿宋_GB2312" w:cs="仿宋"/>
          <w:color w:val="000000"/>
          <w:sz w:val="32"/>
          <w:szCs w:val="32"/>
          <w:shd w:val="clear" w:color="auto" w:fill="FFFFFF"/>
        </w:rPr>
        <w:t>年开展一次慢病与营养监测，掌握新郑市重点慢性病状况、影响因素和疾病负担。全人群的死因监测、心脑血管事件监测、慢性阻塞性肺疾病监测、肿瘤随访登记等重大慢性病登记报告达到基本技术指标并完成报告。年度居民报告粗死亡率≥</w:t>
      </w:r>
      <w:r>
        <w:rPr>
          <w:rFonts w:ascii="仿宋_GB2312" w:hAnsi="仿宋" w:eastAsia="仿宋_GB2312" w:cs="仿宋"/>
          <w:color w:val="000000"/>
          <w:sz w:val="32"/>
          <w:szCs w:val="32"/>
          <w:shd w:val="clear" w:color="auto" w:fill="FFFFFF"/>
        </w:rPr>
        <w:t>6</w:t>
      </w:r>
      <w:r>
        <w:rPr>
          <w:rFonts w:hint="eastAsia" w:ascii="仿宋_GB2312" w:hAnsi="仿宋" w:eastAsia="仿宋_GB2312" w:cs="仿宋"/>
          <w:color w:val="000000"/>
          <w:sz w:val="32"/>
          <w:szCs w:val="32"/>
          <w:shd w:val="clear" w:color="auto" w:fill="FFFFFF"/>
        </w:rPr>
        <w:t>‰，心脑血管事件报告发病率≥</w:t>
      </w:r>
      <w:r>
        <w:rPr>
          <w:rFonts w:ascii="仿宋_GB2312" w:hAnsi="仿宋" w:eastAsia="仿宋_GB2312" w:cs="仿宋"/>
          <w:color w:val="000000"/>
          <w:sz w:val="32"/>
          <w:szCs w:val="32"/>
          <w:shd w:val="clear" w:color="auto" w:fill="FFFFFF"/>
        </w:rPr>
        <w:t>600/10</w:t>
      </w:r>
      <w:r>
        <w:rPr>
          <w:rFonts w:hint="eastAsia" w:ascii="仿宋_GB2312" w:hAnsi="仿宋" w:eastAsia="仿宋_GB2312" w:cs="仿宋"/>
          <w:color w:val="000000"/>
          <w:sz w:val="32"/>
          <w:szCs w:val="32"/>
          <w:shd w:val="clear" w:color="auto" w:fill="FFFFFF"/>
        </w:rPr>
        <w:t>万，肿瘤登记报告幻病率≥</w:t>
      </w:r>
      <w:r>
        <w:rPr>
          <w:rFonts w:ascii="仿宋_GB2312" w:hAnsi="仿宋" w:eastAsia="仿宋_GB2312" w:cs="仿宋"/>
          <w:color w:val="000000"/>
          <w:sz w:val="32"/>
          <w:szCs w:val="32"/>
          <w:shd w:val="clear" w:color="auto" w:fill="FFFFFF"/>
        </w:rPr>
        <w:t>250/10</w:t>
      </w:r>
      <w:r>
        <w:rPr>
          <w:rFonts w:hint="eastAsia" w:ascii="仿宋_GB2312" w:hAnsi="仿宋" w:eastAsia="仿宋_GB2312" w:cs="仿宋"/>
          <w:color w:val="000000"/>
          <w:sz w:val="32"/>
          <w:szCs w:val="32"/>
          <w:shd w:val="clear" w:color="auto" w:fill="FFFFFF"/>
        </w:rPr>
        <w:t>万。利用省、市、县三级人口健康信息和疾控信息管理系统，实现重点慢病监测数据互联互通。</w:t>
      </w:r>
    </w:p>
    <w:p>
      <w:pPr>
        <w:spacing w:line="560" w:lineRule="exact"/>
        <w:ind w:firstLine="640" w:firstLineChars="200"/>
        <w:rPr>
          <w:rFonts w:ascii="仿宋_GB2312" w:hAnsi="仿宋" w:eastAsia="仿宋_GB2312" w:cs="仿宋"/>
          <w:color w:val="000000"/>
          <w:sz w:val="32"/>
          <w:szCs w:val="32"/>
          <w:shd w:val="clear" w:color="auto" w:fill="FFFFFF"/>
        </w:rPr>
      </w:pPr>
      <w:r>
        <w:rPr>
          <w:rFonts w:ascii="仿宋_GB2312" w:hAnsi="仿宋" w:eastAsia="仿宋_GB2312" w:cs="仿宋"/>
          <w:color w:val="000000"/>
          <w:sz w:val="32"/>
          <w:szCs w:val="32"/>
          <w:shd w:val="clear" w:color="auto" w:fill="FFFFFF"/>
        </w:rPr>
        <w:t>2.</w:t>
      </w:r>
      <w:r>
        <w:rPr>
          <w:rFonts w:hint="eastAsia" w:ascii="仿宋_GB2312" w:hAnsi="仿宋" w:eastAsia="仿宋_GB2312" w:cs="仿宋"/>
          <w:color w:val="000000"/>
          <w:sz w:val="32"/>
          <w:szCs w:val="32"/>
          <w:shd w:val="clear" w:color="auto" w:fill="FFFFFF"/>
        </w:rPr>
        <w:t>开展慢性病防控社会因素调查：每</w:t>
      </w:r>
      <w:r>
        <w:rPr>
          <w:rFonts w:ascii="仿宋_GB2312" w:hAnsi="仿宋" w:eastAsia="仿宋_GB2312" w:cs="仿宋"/>
          <w:color w:val="000000"/>
          <w:sz w:val="32"/>
          <w:szCs w:val="32"/>
          <w:shd w:val="clear" w:color="auto" w:fill="FFFFFF"/>
        </w:rPr>
        <w:t>5</w:t>
      </w:r>
      <w:r>
        <w:rPr>
          <w:rFonts w:hint="eastAsia" w:ascii="仿宋_GB2312" w:hAnsi="仿宋" w:eastAsia="仿宋_GB2312" w:cs="仿宋"/>
          <w:color w:val="000000"/>
          <w:sz w:val="32"/>
          <w:szCs w:val="32"/>
          <w:shd w:val="clear" w:color="auto" w:fill="FFFFFF"/>
        </w:rPr>
        <w:t>年规范制定慢性病及社会因素状况调查方案，综合运用社会学、流行病学及管理学理论与方法开展调查并完成调查技术报告；技术报告信息来源权威、准确、多元、综合，报告结构完整，有背景、方法、现况与主要问题、资源分析、预期目标、主要对策与具体措施等内容，报告调查结果清晰、调查依据正确、对策合乎逻辑、目标设定科学、措施设计得当；报告结果用于指引、评估慢病示范区建设及慢性病综合防控工作计划的制定。采用多种形式获取群众对慢性病综合防控的参与度和满意度，并形成相关评价报告。</w:t>
      </w:r>
    </w:p>
    <w:p>
      <w:pPr>
        <w:spacing w:line="560" w:lineRule="exact"/>
        <w:ind w:firstLine="640" w:firstLineChars="200"/>
        <w:rPr>
          <w:rFonts w:ascii="楷体_GB2312" w:hAnsi="仿宋" w:eastAsia="楷体_GB2312" w:cs="仿宋"/>
          <w:color w:val="000000"/>
          <w:sz w:val="32"/>
          <w:szCs w:val="32"/>
          <w:shd w:val="clear" w:color="auto" w:fill="FFFFFF"/>
        </w:rPr>
      </w:pPr>
      <w:r>
        <w:rPr>
          <w:rFonts w:hint="eastAsia" w:ascii="楷体_GB2312" w:hAnsi="仿宋" w:eastAsia="楷体_GB2312" w:cs="仿宋"/>
          <w:color w:val="000000"/>
          <w:sz w:val="32"/>
          <w:szCs w:val="32"/>
          <w:shd w:val="clear" w:color="auto" w:fill="FFFFFF"/>
        </w:rPr>
        <w:t>（七）创新引领</w:t>
      </w:r>
    </w:p>
    <w:p>
      <w:pPr>
        <w:spacing w:line="560" w:lineRule="exact"/>
        <w:ind w:firstLine="640" w:firstLineChars="200"/>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慢病综合防控工作有特色、可复制、可推广，慢病综合防控工作与社区文化建设、健康城市建设、文明创建、公共服务与公共产品等相关项目有机衔接整合，以达到</w:t>
      </w:r>
      <w:r>
        <w:rPr>
          <w:rFonts w:ascii="仿宋_GB2312" w:hAnsi="仿宋" w:eastAsia="仿宋_GB2312" w:cs="仿宋"/>
          <w:color w:val="000000"/>
          <w:sz w:val="32"/>
          <w:szCs w:val="32"/>
          <w:shd w:val="clear" w:color="auto" w:fill="FFFFFF"/>
        </w:rPr>
        <w:t>1+1&gt;2</w:t>
      </w:r>
      <w:r>
        <w:rPr>
          <w:rFonts w:hint="eastAsia" w:ascii="仿宋_GB2312" w:hAnsi="仿宋" w:eastAsia="仿宋_GB2312" w:cs="仿宋"/>
          <w:color w:val="000000"/>
          <w:sz w:val="32"/>
          <w:szCs w:val="32"/>
          <w:shd w:val="clear" w:color="auto" w:fill="FFFFFF"/>
        </w:rPr>
        <w:t>的实际效果，有效衔接达</w:t>
      </w:r>
      <w:r>
        <w:rPr>
          <w:rFonts w:ascii="仿宋_GB2312" w:hAnsi="仿宋" w:eastAsia="仿宋_GB2312" w:cs="仿宋"/>
          <w:color w:val="000000"/>
          <w:sz w:val="32"/>
          <w:szCs w:val="32"/>
          <w:shd w:val="clear" w:color="auto" w:fill="FFFFFF"/>
        </w:rPr>
        <w:t>3</w:t>
      </w:r>
      <w:r>
        <w:rPr>
          <w:rFonts w:hint="eastAsia" w:ascii="仿宋_GB2312" w:hAnsi="仿宋" w:eastAsia="仿宋_GB2312" w:cs="仿宋"/>
          <w:color w:val="000000"/>
          <w:sz w:val="32"/>
          <w:szCs w:val="32"/>
          <w:shd w:val="clear" w:color="auto" w:fill="FFFFFF"/>
        </w:rPr>
        <w:t>项案例，成功经验可推广。</w:t>
      </w:r>
    </w:p>
    <w:p>
      <w:pPr>
        <w:spacing w:line="56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四、部门职责</w:t>
      </w:r>
    </w:p>
    <w:p>
      <w:pPr>
        <w:spacing w:line="560" w:lineRule="exact"/>
        <w:ind w:firstLine="640" w:firstLineChars="200"/>
        <w:rPr>
          <w:rFonts w:ascii="仿宋_GB2312" w:hAnsi="仿宋" w:eastAsia="仿宋_GB2312" w:cs="仿宋"/>
          <w:color w:val="000000"/>
          <w:sz w:val="32"/>
          <w:szCs w:val="32"/>
          <w:shd w:val="clear" w:color="auto" w:fill="FFFFFF"/>
        </w:rPr>
      </w:pPr>
      <w:r>
        <w:rPr>
          <w:rFonts w:hint="eastAsia" w:ascii="楷体_GB2312" w:hAnsi="仿宋" w:eastAsia="楷体_GB2312" w:cs="仿宋"/>
          <w:color w:val="000000"/>
          <w:sz w:val="32"/>
          <w:szCs w:val="32"/>
          <w:shd w:val="clear" w:color="auto" w:fill="FFFFFF"/>
        </w:rPr>
        <w:t>（一）市慢病示范区建设领导小组办公室：</w:t>
      </w:r>
      <w:r>
        <w:rPr>
          <w:rFonts w:hint="eastAsia" w:ascii="仿宋_GB2312" w:hAnsi="仿宋" w:eastAsia="仿宋_GB2312" w:cs="仿宋"/>
          <w:color w:val="000000"/>
          <w:sz w:val="32"/>
          <w:szCs w:val="32"/>
          <w:shd w:val="clear" w:color="auto" w:fill="FFFFFF"/>
        </w:rPr>
        <w:t>组织召开国家慢病示范区建设动员协调会；制定建设工作实施方案；调整专家技术指导组成员和联络员；组建督导组，明确职责分工，完善督导制度；根据实际情况召开督导组汇报会和联络员会议；将慢病示范区建设工作纳入各部门年度目标管理和目标绩效考核；每年开展</w:t>
      </w:r>
      <w:r>
        <w:rPr>
          <w:rFonts w:ascii="仿宋_GB2312" w:hAnsi="仿宋" w:eastAsia="仿宋_GB2312" w:cs="仿宋"/>
          <w:color w:val="000000"/>
          <w:sz w:val="32"/>
          <w:szCs w:val="32"/>
          <w:shd w:val="clear" w:color="auto" w:fill="FFFFFF"/>
        </w:rPr>
        <w:t>1</w:t>
      </w:r>
      <w:r>
        <w:rPr>
          <w:rFonts w:hint="eastAsia" w:ascii="仿宋_GB2312" w:hAnsi="仿宋" w:eastAsia="仿宋_GB2312" w:cs="仿宋"/>
          <w:color w:val="000000"/>
          <w:sz w:val="32"/>
          <w:szCs w:val="32"/>
          <w:shd w:val="clear" w:color="auto" w:fill="FFFFFF"/>
        </w:rPr>
        <w:t>次多部门组织的集体性健身活动；有效引进社会资本参与慢病防控；鼓励商业健康保险参与医疗救助；政府通过购买服务的方式，为慢病患者提供健康管理服务，发布人群慢病防控有关健康信息；组织、协调、开展形式多样的慢病防控知识、法律法规和政策的宣教活动，营造全市慢病示范区建设氛围，探索、建立慢病示范区建设与文化建设长效机制，鼓励慢病防控工作与社会、文化等建设和公共服务、公共产品供给相结合，做到有创新、有案例、可推广。</w:t>
      </w:r>
    </w:p>
    <w:p>
      <w:pPr>
        <w:spacing w:line="560" w:lineRule="exact"/>
        <w:ind w:left="1" w:firstLine="640" w:firstLineChars="200"/>
        <w:textAlignment w:val="bottom"/>
        <w:rPr>
          <w:rFonts w:ascii="仿宋_GB2312" w:hAnsi="仿宋" w:eastAsia="仿宋_GB2312" w:cs="仿宋"/>
          <w:color w:val="000000"/>
          <w:sz w:val="32"/>
          <w:szCs w:val="32"/>
        </w:rPr>
      </w:pPr>
      <w:r>
        <w:rPr>
          <w:rFonts w:hint="eastAsia" w:ascii="楷体_GB2312" w:hAnsi="楷体" w:eastAsia="楷体_GB2312" w:cs="楷体"/>
          <w:color w:val="000000"/>
          <w:kern w:val="0"/>
          <w:sz w:val="32"/>
          <w:szCs w:val="32"/>
        </w:rPr>
        <w:t>（二）市卫健委：</w:t>
      </w:r>
      <w:r>
        <w:rPr>
          <w:rFonts w:hint="eastAsia" w:ascii="仿宋_GB2312" w:hAnsi="仿宋" w:eastAsia="仿宋_GB2312" w:cs="仿宋"/>
          <w:sz w:val="32"/>
          <w:szCs w:val="32"/>
        </w:rPr>
        <w:t>依托三级网络开展“三减三健”专项活动；在</w:t>
      </w:r>
      <w:r>
        <w:rPr>
          <w:rFonts w:hint="eastAsia" w:ascii="仿宋_GB2312" w:hAnsi="仿宋" w:eastAsia="仿宋_GB2312" w:cs="仿宋"/>
          <w:kern w:val="0"/>
          <w:sz w:val="32"/>
          <w:szCs w:val="32"/>
        </w:rPr>
        <w:t>基层医疗机构设置自助式健康检测点，并提供个体化健康指导；要求各级医疗机构开展简短戒烟服务培训，二级及以上医疗机构提供简短戒烟服务，逐步降低成年人吸烟率；</w:t>
      </w:r>
      <w:r>
        <w:rPr>
          <w:rFonts w:hint="eastAsia" w:ascii="仿宋_GB2312" w:hAnsi="仿宋" w:eastAsia="仿宋_GB2312" w:cs="仿宋"/>
          <w:sz w:val="32"/>
          <w:szCs w:val="32"/>
        </w:rPr>
        <w:t>提高患者的医疗保障水平和残疾人、流动人口、低收入等人群医疗救助水平。制订实施慢病防控服务体系建设方案，明确各医疗卫生机构职责，完善服务体系的运行、质控、绩效评价机制，与基层建立有效合作机制；加强防控队伍人才培养，加大对基层慢病防控专职人员培训力度，利用健康教育网络开展慢病防控、健教宣传和肿瘤宣传周、全国高血压日、世界糖尿病日、全民健康生活方式日、世界脑卒中日等大型宣传活动，结合健康教育和健康素养示范</w:t>
      </w:r>
      <w:r>
        <w:rPr>
          <w:rFonts w:ascii="仿宋_GB2312" w:hAnsi="仿宋" w:eastAsia="仿宋_GB2312" w:cs="仿宋"/>
          <w:sz w:val="32"/>
          <w:szCs w:val="32"/>
        </w:rPr>
        <w:t>(</w:t>
      </w:r>
      <w:r>
        <w:rPr>
          <w:rFonts w:hint="eastAsia" w:ascii="仿宋_GB2312" w:hAnsi="仿宋" w:eastAsia="仿宋_GB2312" w:cs="仿宋"/>
          <w:sz w:val="32"/>
          <w:szCs w:val="32"/>
        </w:rPr>
        <w:t>县</w:t>
      </w:r>
      <w:r>
        <w:rPr>
          <w:rFonts w:ascii="仿宋_GB2312" w:hAnsi="仿宋" w:eastAsia="仿宋_GB2312" w:cs="仿宋"/>
          <w:sz w:val="32"/>
          <w:szCs w:val="32"/>
        </w:rPr>
        <w:t>)</w:t>
      </w:r>
      <w:r>
        <w:rPr>
          <w:rFonts w:hint="eastAsia" w:ascii="仿宋_GB2312" w:hAnsi="仿宋" w:eastAsia="仿宋_GB2312" w:cs="仿宋"/>
          <w:sz w:val="32"/>
          <w:szCs w:val="32"/>
        </w:rPr>
        <w:t>市建设各类健康支持性环境。采取有效措施提升居民重点慢病核心知识知晓率和健康素养水平；撰写社会因素调查报告；配合各有关部门做好学生、</w:t>
      </w:r>
      <w:r>
        <w:rPr>
          <w:rFonts w:ascii="仿宋_GB2312" w:hAnsi="仿宋" w:eastAsia="仿宋_GB2312" w:cs="仿宋"/>
          <w:sz w:val="32"/>
          <w:szCs w:val="32"/>
        </w:rPr>
        <w:t>65</w:t>
      </w:r>
      <w:r>
        <w:rPr>
          <w:rFonts w:hint="eastAsia" w:ascii="仿宋_GB2312" w:hAnsi="仿宋" w:eastAsia="仿宋_GB2312" w:cs="仿宋"/>
          <w:sz w:val="32"/>
          <w:szCs w:val="32"/>
        </w:rPr>
        <w:t>岁以上老年人、职工健康体检工作；指导各医疗卫生机构开展首诊测血压工作</w:t>
      </w:r>
      <w:r>
        <w:rPr>
          <w:rFonts w:hint="eastAsia" w:ascii="仿宋_GB2312" w:hAnsi="仿宋" w:eastAsia="仿宋_GB2312" w:cs="仿宋"/>
          <w:color w:val="000000"/>
          <w:sz w:val="32"/>
          <w:szCs w:val="32"/>
        </w:rPr>
        <w:t>，做好心脑血管疾病、肿瘤、糖尿病、慢阻肺等疾病的筛查和早期诊断及报告工作；积极落实分级诊疗制度</w:t>
      </w:r>
      <w:r>
        <w:rPr>
          <w:rFonts w:hint="eastAsia" w:ascii="仿宋_GB2312" w:hAnsi="仿宋" w:eastAsia="仿宋_GB2312" w:cs="仿宋"/>
          <w:sz w:val="32"/>
          <w:szCs w:val="32"/>
        </w:rPr>
        <w:t>；推进家庭医生签约服务，应用互联网</w:t>
      </w:r>
      <w:r>
        <w:rPr>
          <w:rFonts w:ascii="仿宋_GB2312" w:hAnsi="仿宋" w:eastAsia="仿宋_GB2312" w:cs="仿宋"/>
          <w:sz w:val="32"/>
          <w:szCs w:val="32"/>
        </w:rPr>
        <w:t>+</w:t>
      </w:r>
      <w:r>
        <w:rPr>
          <w:rFonts w:hint="eastAsia" w:ascii="仿宋_GB2312" w:hAnsi="仿宋" w:eastAsia="仿宋_GB2312" w:cs="仿宋"/>
          <w:sz w:val="32"/>
          <w:szCs w:val="32"/>
        </w:rPr>
        <w:t>、健康大数据为患者提供健康管理和诊疗服务；实施儿童口腔疾病干预，降低儿童患龋率；建立区域卫生信息平台，实现机构之间、电子病历、健康档案连续记录和信息共享；基层医疗机构设置中医综合服务区，开展</w:t>
      </w:r>
      <w:r>
        <w:rPr>
          <w:rFonts w:hint="eastAsia" w:ascii="仿宋_GB2312" w:hAnsi="仿宋" w:eastAsia="仿宋_GB2312" w:cs="仿宋"/>
          <w:kern w:val="0"/>
          <w:sz w:val="32"/>
          <w:szCs w:val="32"/>
        </w:rPr>
        <w:t>中医药养生保健知识及中医适宜技术的宣传推广；基层医疗卫生机构优先配备使用基本药物；促进慢病全程防治管理服务与居家养老、社区养老和机构养老服务融合；</w:t>
      </w:r>
      <w:r>
        <w:rPr>
          <w:rFonts w:hint="eastAsia" w:ascii="仿宋_GB2312" w:hAnsi="仿宋" w:eastAsia="仿宋_GB2312" w:cs="仿宋"/>
          <w:sz w:val="32"/>
          <w:szCs w:val="32"/>
        </w:rPr>
        <w:t>开展各类监测调查、社区诊断、筛查建档、随访管理、技术评估等工作，实现监测数据互联互通。负责做好全市无烟单位创建工作</w:t>
      </w:r>
      <w:r>
        <w:rPr>
          <w:rFonts w:ascii="仿宋_GB2312" w:hAnsi="仿宋" w:eastAsia="仿宋_GB2312" w:cs="仿宋"/>
          <w:sz w:val="32"/>
          <w:szCs w:val="32"/>
        </w:rPr>
        <w:t>,</w:t>
      </w:r>
      <w:r>
        <w:rPr>
          <w:rFonts w:hint="eastAsia" w:ascii="仿宋_GB2312" w:hAnsi="仿宋" w:eastAsia="仿宋_GB2312" w:cs="仿宋"/>
          <w:sz w:val="32"/>
          <w:szCs w:val="32"/>
        </w:rPr>
        <w:t>确保按时保质保量完成有关指标要求；督促在辖区室内公共场所和工作场所设置禁烟警语和标识。负责基础资料的收集、整理、归档、分析等；协调配合各部门完成</w:t>
      </w:r>
      <w:r>
        <w:rPr>
          <w:rFonts w:hint="eastAsia" w:ascii="仿宋_GB2312" w:hAnsi="仿宋" w:eastAsia="仿宋_GB2312" w:cs="仿宋"/>
          <w:color w:val="000000"/>
          <w:sz w:val="32"/>
          <w:szCs w:val="32"/>
        </w:rPr>
        <w:t>慢病示范区建设工作的相关任务指标。</w:t>
      </w:r>
    </w:p>
    <w:p>
      <w:pPr>
        <w:pStyle w:val="2"/>
        <w:spacing w:line="560" w:lineRule="exact"/>
        <w:ind w:firstLine="640" w:firstLineChars="200"/>
        <w:rPr>
          <w:rFonts w:ascii="仿宋_GB2312" w:hAnsi="仿宋" w:eastAsia="仿宋_GB2312" w:cs="仿宋"/>
        </w:rPr>
      </w:pPr>
      <w:r>
        <w:rPr>
          <w:rFonts w:hint="eastAsia" w:ascii="楷体_GB2312" w:hAnsi="楷体" w:eastAsia="楷体_GB2312" w:cs="楷体"/>
          <w:color w:val="000000"/>
          <w:kern w:val="0"/>
          <w:lang w:val="en-US"/>
        </w:rPr>
        <w:t>（三）市委宣传部：</w:t>
      </w:r>
      <w:r>
        <w:rPr>
          <w:rFonts w:hint="eastAsia" w:ascii="仿宋_GB2312" w:hAnsi="仿宋" w:eastAsia="仿宋_GB2312" w:cs="仿宋"/>
        </w:rPr>
        <w:t>实现慢病防控与社区文化建设、</w:t>
      </w:r>
      <w:r>
        <w:rPr>
          <w:rFonts w:hint="eastAsia" w:ascii="仿宋_GB2312" w:hAnsi="仿宋" w:eastAsia="仿宋_GB2312" w:cs="仿宋"/>
          <w:lang w:val="en-US"/>
        </w:rPr>
        <w:t>健康城市建设、文明创建、公共服务与公共产品等相关项目有</w:t>
      </w:r>
      <w:r>
        <w:rPr>
          <w:rFonts w:hint="eastAsia" w:ascii="仿宋_GB2312" w:hAnsi="仿宋" w:eastAsia="仿宋_GB2312" w:cs="仿宋"/>
        </w:rPr>
        <w:t>机</w:t>
      </w:r>
      <w:r>
        <w:rPr>
          <w:rFonts w:hint="eastAsia" w:ascii="仿宋_GB2312" w:hAnsi="仿宋" w:eastAsia="仿宋_GB2312" w:cs="仿宋"/>
          <w:lang w:val="en-US"/>
        </w:rPr>
        <w:t>衔接整</w:t>
      </w:r>
      <w:r>
        <w:rPr>
          <w:rFonts w:hint="eastAsia" w:ascii="仿宋_GB2312" w:hAnsi="仿宋" w:eastAsia="仿宋_GB2312" w:cs="仿宋"/>
        </w:rPr>
        <w:t>合，</w:t>
      </w:r>
      <w:r>
        <w:rPr>
          <w:rFonts w:hint="eastAsia" w:ascii="仿宋_GB2312" w:hAnsi="仿宋" w:eastAsia="仿宋_GB2312" w:cs="仿宋"/>
          <w:lang w:val="en-US"/>
        </w:rPr>
        <w:t>达</w:t>
      </w:r>
      <w:r>
        <w:rPr>
          <w:rFonts w:ascii="仿宋_GB2312" w:hAnsi="仿宋" w:eastAsia="仿宋_GB2312" w:cs="仿宋"/>
          <w:lang w:val="en-US"/>
        </w:rPr>
        <w:t>1+1</w:t>
      </w:r>
      <w:r>
        <w:rPr>
          <w:rFonts w:hint="eastAsia" w:ascii="仿宋_GB2312" w:hAnsi="仿宋" w:eastAsia="仿宋_GB2312" w:cs="仿宋"/>
          <w:lang w:val="en-US"/>
        </w:rPr>
        <w:t>大于</w:t>
      </w:r>
      <w:r>
        <w:rPr>
          <w:rFonts w:ascii="仿宋_GB2312" w:hAnsi="仿宋" w:eastAsia="仿宋_GB2312" w:cs="仿宋"/>
          <w:lang w:val="en-US"/>
        </w:rPr>
        <w:t>2</w:t>
      </w:r>
      <w:r>
        <w:rPr>
          <w:rFonts w:hint="eastAsia" w:ascii="仿宋_GB2312" w:hAnsi="仿宋" w:eastAsia="仿宋_GB2312" w:cs="仿宋"/>
          <w:lang w:val="en-US"/>
        </w:rPr>
        <w:t>的实际效果。</w:t>
      </w:r>
    </w:p>
    <w:p>
      <w:pPr>
        <w:spacing w:line="560" w:lineRule="exact"/>
        <w:ind w:left="1"/>
        <w:textAlignment w:val="bottom"/>
        <w:rPr>
          <w:rFonts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仿宋_GB2312" w:hAnsi="仿宋" w:eastAsia="仿宋_GB2312" w:cs="仿宋"/>
          <w:sz w:val="32"/>
          <w:szCs w:val="32"/>
        </w:rPr>
        <w:t>　</w:t>
      </w:r>
      <w:r>
        <w:rPr>
          <w:rFonts w:hint="eastAsia" w:ascii="楷体_GB2312" w:hAnsi="楷体" w:eastAsia="楷体_GB2312" w:cs="楷体"/>
          <w:color w:val="000000"/>
          <w:kern w:val="0"/>
          <w:sz w:val="32"/>
          <w:szCs w:val="32"/>
        </w:rPr>
        <w:t>（四）市发展改革委：</w:t>
      </w:r>
      <w:r>
        <w:rPr>
          <w:rFonts w:hint="eastAsia" w:ascii="仿宋_GB2312" w:hAnsi="仿宋" w:eastAsia="仿宋_GB2312" w:cs="仿宋"/>
          <w:color w:val="000000"/>
          <w:sz w:val="32"/>
          <w:szCs w:val="32"/>
        </w:rPr>
        <w:t>将慢病综合防控工作纳入全市社会经济发展总体规划，加强慢病防控能力建设，保障慢病示范区建设工作顺利完成。</w:t>
      </w:r>
    </w:p>
    <w:p>
      <w:pPr>
        <w:spacing w:line="560" w:lineRule="exact"/>
        <w:ind w:left="1"/>
        <w:textAlignment w:val="bottom"/>
        <w:rPr>
          <w:rFonts w:ascii="仿宋_GB2312" w:hAnsi="仿宋" w:eastAsia="仿宋_GB2312" w:cs="仿宋"/>
          <w:sz w:val="32"/>
          <w:szCs w:val="32"/>
        </w:rPr>
      </w:pPr>
      <w:r>
        <w:rPr>
          <w:rFonts w:hint="eastAsia" w:ascii="仿宋_GB2312" w:hAnsi="仿宋" w:eastAsia="仿宋_GB2312" w:cs="仿宋"/>
          <w:color w:val="000000"/>
          <w:sz w:val="32"/>
          <w:szCs w:val="32"/>
        </w:rPr>
        <w:t>　　</w:t>
      </w:r>
      <w:r>
        <w:rPr>
          <w:rFonts w:hint="eastAsia" w:ascii="楷体_GB2312" w:hAnsi="楷体" w:eastAsia="楷体_GB2312" w:cs="楷体"/>
          <w:color w:val="000000"/>
          <w:kern w:val="0"/>
          <w:sz w:val="32"/>
          <w:szCs w:val="32"/>
        </w:rPr>
        <w:t>（五）市财政局：</w:t>
      </w:r>
      <w:r>
        <w:rPr>
          <w:rFonts w:hint="eastAsia" w:ascii="仿宋_GB2312" w:hAnsi="仿宋" w:eastAsia="仿宋_GB2312" w:cs="仿宋"/>
          <w:color w:val="000000"/>
          <w:sz w:val="32"/>
          <w:szCs w:val="32"/>
        </w:rPr>
        <w:t>负责将慢病防控工作经费纳入政府财政预算决算，做好慢病示范区建设有关经费保障，提供慢病示范区建设专项工作经费，审查资金的分配投向和效益，及时落实经费并对款项</w:t>
      </w:r>
      <w:r>
        <w:rPr>
          <w:rFonts w:hint="eastAsia" w:ascii="仿宋_GB2312" w:hAnsi="仿宋" w:eastAsia="仿宋_GB2312" w:cs="仿宋"/>
          <w:sz w:val="32"/>
          <w:szCs w:val="32"/>
        </w:rPr>
        <w:t>的使用进行监督检查</w:t>
      </w:r>
      <w:r>
        <w:rPr>
          <w:rFonts w:ascii="仿宋_GB2312" w:hAnsi="仿宋" w:eastAsia="仿宋_GB2312" w:cs="仿宋"/>
          <w:sz w:val="32"/>
          <w:szCs w:val="32"/>
        </w:rPr>
        <w:t>,</w:t>
      </w:r>
      <w:r>
        <w:rPr>
          <w:rFonts w:hint="eastAsia" w:ascii="仿宋_GB2312" w:hAnsi="仿宋" w:eastAsia="仿宋_GB2312" w:cs="仿宋"/>
          <w:sz w:val="32"/>
          <w:szCs w:val="32"/>
        </w:rPr>
        <w:t>专款专用。</w:t>
      </w:r>
    </w:p>
    <w:p>
      <w:pPr>
        <w:spacing w:line="560" w:lineRule="exact"/>
        <w:ind w:left="1"/>
        <w:textAlignment w:val="bottom"/>
        <w:rPr>
          <w:rFonts w:ascii="仿宋_GB2312" w:hAnsi="仿宋" w:eastAsia="仿宋_GB2312" w:cs="仿宋"/>
          <w:sz w:val="32"/>
          <w:szCs w:val="32"/>
        </w:rPr>
      </w:pPr>
      <w:r>
        <w:rPr>
          <w:rFonts w:hint="eastAsia" w:ascii="仿宋_GB2312" w:hAnsi="仿宋" w:eastAsia="仿宋_GB2312" w:cs="仿宋"/>
          <w:sz w:val="32"/>
          <w:szCs w:val="32"/>
        </w:rPr>
        <w:t>　　</w:t>
      </w:r>
      <w:r>
        <w:rPr>
          <w:rFonts w:hint="eastAsia" w:ascii="楷体_GB2312" w:hAnsi="楷体" w:eastAsia="楷体_GB2312" w:cs="楷体"/>
          <w:color w:val="000000"/>
          <w:kern w:val="0"/>
          <w:sz w:val="32"/>
          <w:szCs w:val="32"/>
        </w:rPr>
        <w:t>（六）市教育局：</w:t>
      </w:r>
      <w:r>
        <w:rPr>
          <w:rFonts w:hint="eastAsia" w:ascii="仿宋_GB2312" w:hAnsi="仿宋" w:eastAsia="仿宋_GB2312" w:cs="仿宋"/>
          <w:sz w:val="32"/>
          <w:szCs w:val="32"/>
        </w:rPr>
        <w:t>负责指导学校开展慢病防控知识宣传，开设慢病相关健康教育课；利用家长会等举办合理膳食、口腔保健等知识讲座；落实学生课间操健身制度；筹建</w:t>
      </w:r>
      <w:r>
        <w:rPr>
          <w:rFonts w:ascii="仿宋_GB2312" w:hAnsi="仿宋" w:eastAsia="仿宋_GB2312" w:cs="仿宋"/>
          <w:sz w:val="32"/>
          <w:szCs w:val="32"/>
        </w:rPr>
        <w:t>10</w:t>
      </w:r>
      <w:r>
        <w:rPr>
          <w:rFonts w:hint="eastAsia" w:ascii="仿宋_GB2312" w:hAnsi="仿宋" w:eastAsia="仿宋_GB2312" w:cs="仿宋"/>
          <w:sz w:val="32"/>
          <w:szCs w:val="32"/>
        </w:rPr>
        <w:t>所健康学校，提升学生综合素质；配合爱卫办建设无烟学校达到目标要求；组织学生健康体检，配合相关部门开展适应症儿童的窝沟封闭等工作。</w:t>
      </w:r>
    </w:p>
    <w:p>
      <w:pPr>
        <w:spacing w:line="560" w:lineRule="exact"/>
        <w:ind w:left="1" w:firstLine="640" w:firstLineChars="200"/>
        <w:textAlignment w:val="bottom"/>
        <w:rPr>
          <w:rFonts w:ascii="仿宋_GB2312" w:hAnsi="仿宋" w:eastAsia="仿宋_GB2312" w:cs="仿宋"/>
          <w:color w:val="000000"/>
          <w:sz w:val="32"/>
          <w:szCs w:val="32"/>
        </w:rPr>
      </w:pPr>
      <w:r>
        <w:rPr>
          <w:rFonts w:hint="eastAsia" w:ascii="楷体_GB2312" w:hAnsi="楷体" w:eastAsia="楷体_GB2312" w:cs="楷体"/>
          <w:color w:val="000000"/>
          <w:kern w:val="0"/>
          <w:sz w:val="32"/>
          <w:szCs w:val="32"/>
        </w:rPr>
        <w:t>（七）市文广旅体局：</w:t>
      </w:r>
      <w:r>
        <w:rPr>
          <w:rFonts w:hint="eastAsia" w:ascii="仿宋_GB2312" w:hAnsi="仿宋" w:eastAsia="仿宋_GB2312" w:cs="仿宋"/>
          <w:sz w:val="32"/>
          <w:szCs w:val="32"/>
        </w:rPr>
        <w:t>制定全民健身计划，组织开展群众性体育活动，加大全市健身场地、设施建设力度</w:t>
      </w:r>
      <w:r>
        <w:rPr>
          <w:rFonts w:hint="eastAsia" w:ascii="仿宋_GB2312" w:hAnsi="仿宋" w:eastAsia="仿宋_GB2312" w:cs="仿宋"/>
          <w:color w:val="000000"/>
          <w:sz w:val="32"/>
          <w:szCs w:val="32"/>
        </w:rPr>
        <w:t>，指导建设</w:t>
      </w:r>
      <w:r>
        <w:rPr>
          <w:rFonts w:ascii="仿宋_GB2312" w:hAnsi="仿宋" w:eastAsia="仿宋_GB2312" w:cs="仿宋"/>
          <w:color w:val="000000"/>
          <w:sz w:val="32"/>
          <w:szCs w:val="32"/>
        </w:rPr>
        <w:t>15</w:t>
      </w:r>
      <w:r>
        <w:rPr>
          <w:rFonts w:hint="eastAsia" w:ascii="仿宋_GB2312" w:hAnsi="仿宋" w:eastAsia="仿宋_GB2312" w:cs="仿宋"/>
          <w:color w:val="000000"/>
          <w:sz w:val="32"/>
          <w:szCs w:val="32"/>
        </w:rPr>
        <w:t>分钟健身圈，满足居民健身活动需求，鼓励有条件的学校体育场地面向居民免费开放，实施青少年体育活动促进计划，提高体育锻炼人口比例；配合有关部门完成慢病示范区建设工作的相关指标。</w:t>
      </w:r>
    </w:p>
    <w:p>
      <w:pPr>
        <w:pStyle w:val="2"/>
        <w:spacing w:line="560" w:lineRule="exact"/>
        <w:ind w:firstLine="640" w:firstLineChars="200"/>
        <w:rPr>
          <w:rFonts w:ascii="仿宋_GB2312" w:eastAsia="仿宋_GB2312"/>
        </w:rPr>
      </w:pPr>
      <w:r>
        <w:rPr>
          <w:rFonts w:hint="eastAsia" w:ascii="楷体_GB2312" w:hAnsi="楷体" w:eastAsia="楷体_GB2312" w:cs="楷体"/>
          <w:color w:val="000000"/>
          <w:kern w:val="0"/>
          <w:lang w:val="en-US"/>
        </w:rPr>
        <w:t>（八）市融媒体中心：</w:t>
      </w:r>
      <w:r>
        <w:rPr>
          <w:rFonts w:hint="eastAsia" w:ascii="仿宋_GB2312" w:hAnsi="仿宋" w:eastAsia="仿宋_GB2312" w:cs="仿宋"/>
        </w:rPr>
        <w:t>将慢病防控宣传内容纳入公益宣传计划，制定媒体健康生活方式行动传播计划，利用广播、电视等媒体，坚持经常性宣传和集中宣传相结合，保证一定的宣传频度和深度，</w:t>
      </w:r>
      <w:r>
        <w:rPr>
          <w:rFonts w:hint="eastAsia" w:ascii="仿宋_GB2312" w:hAnsi="仿宋" w:eastAsia="仿宋_GB2312" w:cs="仿宋"/>
          <w:lang w:val="en-US"/>
        </w:rPr>
        <w:t>传播慢性病防治和健康素养知识技能，</w:t>
      </w:r>
      <w:r>
        <w:rPr>
          <w:rFonts w:hint="eastAsia" w:ascii="仿宋_GB2312" w:hAnsi="仿宋" w:eastAsia="仿宋_GB2312" w:cs="仿宋"/>
        </w:rPr>
        <w:t>引导群众树立健康的生活方式。</w:t>
      </w:r>
    </w:p>
    <w:p>
      <w:pPr>
        <w:spacing w:line="560" w:lineRule="exact"/>
        <w:ind w:left="1"/>
        <w:textAlignment w:val="bottom"/>
        <w:rPr>
          <w:rFonts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仿宋_GB2312" w:hAnsi="楷体" w:eastAsia="仿宋_GB2312" w:cs="楷体"/>
          <w:color w:val="000000"/>
          <w:kern w:val="0"/>
          <w:sz w:val="32"/>
          <w:szCs w:val="32"/>
        </w:rPr>
        <w:t>　</w:t>
      </w:r>
      <w:r>
        <w:rPr>
          <w:rFonts w:hint="eastAsia" w:ascii="楷体_GB2312" w:hAnsi="楷体" w:eastAsia="楷体_GB2312" w:cs="楷体"/>
          <w:color w:val="000000"/>
          <w:kern w:val="0"/>
          <w:sz w:val="32"/>
          <w:szCs w:val="32"/>
        </w:rPr>
        <w:t>（九）市公安局：</w:t>
      </w:r>
      <w:r>
        <w:rPr>
          <w:rFonts w:hint="eastAsia" w:ascii="仿宋_GB2312" w:hAnsi="仿宋" w:eastAsia="仿宋_GB2312" w:cs="仿宋"/>
          <w:color w:val="000000"/>
          <w:sz w:val="32"/>
          <w:szCs w:val="32"/>
        </w:rPr>
        <w:t>通过户籍管理系统，提供人口基础资料和居民户籍注销信息，协助卫健部门开展居民死因调查分析。</w:t>
      </w:r>
    </w:p>
    <w:p>
      <w:pPr>
        <w:spacing w:line="560" w:lineRule="exact"/>
        <w:ind w:left="1"/>
        <w:textAlignment w:val="bottom"/>
        <w:rPr>
          <w:rFonts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楷体_GB2312" w:hAnsi="楷体" w:eastAsia="楷体_GB2312" w:cs="楷体"/>
          <w:color w:val="000000"/>
          <w:kern w:val="0"/>
          <w:sz w:val="32"/>
          <w:szCs w:val="32"/>
        </w:rPr>
        <w:t>（十）市医保局：</w:t>
      </w:r>
      <w:r>
        <w:rPr>
          <w:rFonts w:hint="eastAsia" w:ascii="仿宋_GB2312" w:hAnsi="仿宋" w:eastAsia="仿宋_GB2312" w:cs="仿宋"/>
          <w:color w:val="000000"/>
          <w:sz w:val="32"/>
          <w:szCs w:val="32"/>
        </w:rPr>
        <w:t>落实基本医疗保险、大病保险和困</w:t>
      </w:r>
      <w:r>
        <w:rPr>
          <w:rFonts w:hint="eastAsia" w:ascii="仿宋_GB2312" w:hAnsi="仿宋" w:eastAsia="仿宋_GB2312" w:cs="仿宋"/>
          <w:sz w:val="32"/>
          <w:szCs w:val="32"/>
        </w:rPr>
        <w:t>难群众大病补充医疗保险和医疗救助重大疾病保障等相关政策，提高广大市民的医疗保障水平。提供辖区</w:t>
      </w:r>
      <w:r>
        <w:rPr>
          <w:rFonts w:ascii="仿宋_GB2312" w:hAnsi="仿宋" w:eastAsia="仿宋_GB2312" w:cs="仿宋"/>
          <w:sz w:val="32"/>
          <w:szCs w:val="32"/>
        </w:rPr>
        <w:t>50</w:t>
      </w:r>
      <w:r>
        <w:rPr>
          <w:rFonts w:hint="eastAsia" w:ascii="仿宋_GB2312" w:hAnsi="仿宋" w:eastAsia="仿宋_GB2312" w:cs="仿宋"/>
          <w:sz w:val="32"/>
          <w:szCs w:val="32"/>
        </w:rPr>
        <w:t>人以上企业名单，</w:t>
      </w:r>
      <w:r>
        <w:rPr>
          <w:rFonts w:hint="eastAsia" w:ascii="仿宋_GB2312" w:hAnsi="仿宋" w:eastAsia="仿宋_GB2312" w:cs="仿宋"/>
          <w:color w:val="000000"/>
          <w:sz w:val="32"/>
          <w:szCs w:val="32"/>
        </w:rPr>
        <w:t>提供慢病示范区建设所需各项有关数据（所有掌握的居民死亡信息和因肿瘤、心脑血管疾病医保报销的人员详细信息等），制定慢病防控有关政策。</w:t>
      </w:r>
    </w:p>
    <w:p>
      <w:pPr>
        <w:spacing w:line="560" w:lineRule="exact"/>
        <w:ind w:left="1"/>
        <w:textAlignment w:val="bottom"/>
        <w:rPr>
          <w:rFonts w:ascii="仿宋_GB2312" w:hAnsi="仿宋" w:eastAsia="仿宋_GB2312" w:cs="仿宋"/>
          <w:sz w:val="32"/>
          <w:szCs w:val="32"/>
        </w:rPr>
      </w:pPr>
      <w:r>
        <w:rPr>
          <w:rFonts w:hint="eastAsia" w:ascii="仿宋" w:hAnsi="仿宋" w:eastAsia="仿宋" w:cs="仿宋"/>
          <w:color w:val="000000"/>
          <w:sz w:val="32"/>
          <w:szCs w:val="32"/>
        </w:rPr>
        <w:t>　　</w:t>
      </w:r>
      <w:r>
        <w:rPr>
          <w:rFonts w:hint="eastAsia" w:ascii="楷体_GB2312" w:hAnsi="楷体" w:eastAsia="楷体_GB2312" w:cs="楷体"/>
          <w:color w:val="000000"/>
          <w:kern w:val="0"/>
          <w:sz w:val="32"/>
          <w:szCs w:val="32"/>
        </w:rPr>
        <w:t>（十一）市民政局：</w:t>
      </w:r>
      <w:r>
        <w:rPr>
          <w:rFonts w:hint="eastAsia" w:ascii="仿宋_GB2312" w:hAnsi="仿宋" w:eastAsia="仿宋_GB2312" w:cs="仿宋"/>
          <w:sz w:val="32"/>
          <w:szCs w:val="32"/>
        </w:rPr>
        <w:t>进一步完善贫困慢性病患者及家庭的救助政策，对符合救助条件的及时纳入城乡最低生活保障范围，积极配合卫健部门开展死因监测漏报调查工作；提供、注册社会团体名册，鼓励建身团体积极参与慢病示范区建设，引领辖区居民积极参与健身活动，提升自身素质。</w:t>
      </w:r>
    </w:p>
    <w:p>
      <w:pPr>
        <w:spacing w:line="560" w:lineRule="exact"/>
        <w:ind w:left="1" w:firstLine="640" w:firstLineChars="200"/>
        <w:textAlignment w:val="bottom"/>
        <w:rPr>
          <w:rFonts w:ascii="仿宋_GB2312" w:hAnsi="仿宋" w:eastAsia="仿宋_GB2312" w:cs="仿宋"/>
          <w:sz w:val="32"/>
          <w:szCs w:val="32"/>
        </w:rPr>
      </w:pPr>
      <w:r>
        <w:rPr>
          <w:rFonts w:hint="eastAsia" w:ascii="楷体_GB2312" w:hAnsi="楷体" w:eastAsia="楷体_GB2312" w:cs="楷体"/>
          <w:color w:val="000000"/>
          <w:kern w:val="0"/>
          <w:sz w:val="32"/>
          <w:szCs w:val="32"/>
        </w:rPr>
        <w:t>（十二）市城管局：</w:t>
      </w:r>
      <w:r>
        <w:rPr>
          <w:rFonts w:hint="eastAsia" w:ascii="仿宋_GB2312" w:hAnsi="仿宋" w:eastAsia="仿宋_GB2312" w:cs="仿宋"/>
          <w:sz w:val="32"/>
          <w:szCs w:val="32"/>
        </w:rPr>
        <w:t>协助相关部门开展“卫生日”大型宣传活动。提供街心公园（如：申子园、高拱园）规划数量及具体位置。及时维护保养郑风苑健康主题公园、健康步道各项健身设施，更新健康教育宣传栏宣传内容；充分发挥健康小屋作用，确保正常运转服务于辖区居民。</w:t>
      </w:r>
    </w:p>
    <w:p>
      <w:pPr>
        <w:spacing w:line="560" w:lineRule="exact"/>
        <w:ind w:left="1"/>
        <w:textAlignment w:val="bottom"/>
        <w:rPr>
          <w:rFonts w:ascii="仿宋_GB2312" w:hAnsi="仿宋" w:eastAsia="仿宋_GB2312" w:cs="仿宋"/>
          <w:sz w:val="32"/>
          <w:szCs w:val="32"/>
        </w:rPr>
      </w:pPr>
      <w:r>
        <w:rPr>
          <w:rFonts w:hint="eastAsia" w:ascii="仿宋" w:hAnsi="仿宋" w:eastAsia="仿宋" w:cs="仿宋"/>
          <w:color w:val="000000"/>
          <w:sz w:val="32"/>
          <w:szCs w:val="32"/>
        </w:rPr>
        <w:t>　　</w:t>
      </w:r>
      <w:r>
        <w:rPr>
          <w:rFonts w:hint="eastAsia" w:ascii="楷体_GB2312" w:hAnsi="楷体" w:eastAsia="楷体_GB2312" w:cs="楷体"/>
          <w:color w:val="000000"/>
          <w:kern w:val="0"/>
          <w:sz w:val="32"/>
          <w:szCs w:val="32"/>
        </w:rPr>
        <w:t>（十三）市水利局、具茨山管委会、新区管委会：</w:t>
      </w:r>
      <w:r>
        <w:rPr>
          <w:rFonts w:hint="eastAsia" w:ascii="仿宋_GB2312" w:hAnsi="仿宋" w:eastAsia="仿宋_GB2312" w:cs="仿宋"/>
          <w:sz w:val="32"/>
          <w:szCs w:val="32"/>
        </w:rPr>
        <w:t>及时维护保养健康主题公园、健康步道各项健身设施，更新健康教育宣传栏宣传内容；充分发挥健康小屋作用，确保正常运转服务于辖区居民。</w:t>
      </w:r>
    </w:p>
    <w:p>
      <w:pPr>
        <w:spacing w:line="560" w:lineRule="exact"/>
        <w:ind w:firstLine="640" w:firstLineChars="200"/>
        <w:textAlignment w:val="bottom"/>
        <w:rPr>
          <w:rFonts w:ascii="仿宋_GB2312" w:hAnsi="仿宋" w:eastAsia="仿宋_GB2312" w:cs="仿宋"/>
          <w:sz w:val="32"/>
          <w:szCs w:val="32"/>
        </w:rPr>
      </w:pPr>
      <w:r>
        <w:rPr>
          <w:rFonts w:hint="eastAsia" w:ascii="楷体_GB2312" w:hAnsi="楷体" w:eastAsia="楷体_GB2312" w:cs="楷体"/>
          <w:color w:val="000000"/>
          <w:kern w:val="0"/>
          <w:sz w:val="32"/>
          <w:szCs w:val="32"/>
        </w:rPr>
        <w:t>（十四）市市场监督管理局：</w:t>
      </w:r>
      <w:r>
        <w:rPr>
          <w:rFonts w:hint="eastAsia" w:ascii="仿宋_GB2312" w:hAnsi="仿宋" w:eastAsia="仿宋_GB2312" w:cs="仿宋"/>
          <w:sz w:val="32"/>
          <w:szCs w:val="32"/>
        </w:rPr>
        <w:t>根据全民健康生活方式行动要求，鼓励大型商场、超市、个体商户积极参与，利用电子显示屏、</w:t>
      </w:r>
      <w:r>
        <w:rPr>
          <w:rFonts w:ascii="仿宋_GB2312" w:hAnsi="仿宋" w:eastAsia="仿宋_GB2312" w:cs="仿宋"/>
          <w:sz w:val="32"/>
          <w:szCs w:val="32"/>
        </w:rPr>
        <w:t>LED</w:t>
      </w:r>
      <w:r>
        <w:rPr>
          <w:rFonts w:hint="eastAsia" w:ascii="仿宋_GB2312" w:hAnsi="仿宋" w:eastAsia="仿宋_GB2312" w:cs="仿宋"/>
          <w:sz w:val="32"/>
          <w:szCs w:val="32"/>
        </w:rPr>
        <w:t>等载体，进行慢病示范区建设宣传活动。加强对餐饮业管理者和从业人员进行健康膳食知识与技能培训，按照全民健康生活方式行动健康食堂（酒店）标准建设健康食堂和健康餐厅</w:t>
      </w:r>
      <w:r>
        <w:rPr>
          <w:rFonts w:ascii="仿宋_GB2312" w:hAnsi="仿宋" w:eastAsia="仿宋_GB2312" w:cs="仿宋"/>
          <w:sz w:val="32"/>
          <w:szCs w:val="32"/>
        </w:rPr>
        <w:t>(</w:t>
      </w:r>
      <w:r>
        <w:rPr>
          <w:rFonts w:hint="eastAsia" w:ascii="仿宋_GB2312" w:hAnsi="仿宋" w:eastAsia="仿宋_GB2312" w:cs="仿宋"/>
          <w:sz w:val="32"/>
          <w:szCs w:val="32"/>
        </w:rPr>
        <w:t>酒店</w:t>
      </w:r>
      <w:r>
        <w:rPr>
          <w:rFonts w:ascii="仿宋_GB2312" w:hAnsi="仿宋" w:eastAsia="仿宋_GB2312" w:cs="仿宋"/>
          <w:sz w:val="32"/>
          <w:szCs w:val="32"/>
        </w:rPr>
        <w:t>)</w:t>
      </w:r>
      <w:r>
        <w:rPr>
          <w:rFonts w:hint="eastAsia" w:ascii="仿宋_GB2312" w:hAnsi="仿宋" w:eastAsia="仿宋_GB2312" w:cs="仿宋"/>
          <w:sz w:val="32"/>
          <w:szCs w:val="32"/>
        </w:rPr>
        <w:t>每年新增各</w:t>
      </w:r>
      <w:r>
        <w:rPr>
          <w:rFonts w:ascii="仿宋_GB2312" w:hAnsi="仿宋" w:eastAsia="仿宋_GB2312" w:cs="仿宋"/>
          <w:sz w:val="32"/>
          <w:szCs w:val="32"/>
        </w:rPr>
        <w:t>2</w:t>
      </w:r>
      <w:r>
        <w:rPr>
          <w:rFonts w:hint="eastAsia" w:ascii="仿宋_GB2312" w:hAnsi="仿宋" w:eastAsia="仿宋_GB2312" w:cs="仿宋"/>
          <w:sz w:val="32"/>
          <w:szCs w:val="32"/>
        </w:rPr>
        <w:t>个。引导食品生产和销售企业开发、生产、销售低糖、低脂和低盐等有利于健康的食品。</w:t>
      </w:r>
    </w:p>
    <w:p>
      <w:pPr>
        <w:spacing w:line="560" w:lineRule="exact"/>
        <w:ind w:firstLine="640" w:firstLineChars="200"/>
        <w:textAlignment w:val="bottom"/>
        <w:rPr>
          <w:rFonts w:ascii="仿宋_GB2312" w:hAnsi="仿宋" w:eastAsia="仿宋_GB2312" w:cs="仿宋"/>
          <w:sz w:val="32"/>
          <w:szCs w:val="32"/>
        </w:rPr>
      </w:pPr>
      <w:r>
        <w:rPr>
          <w:rFonts w:hint="eastAsia" w:ascii="楷体_GB2312" w:hAnsi="楷体" w:eastAsia="楷体_GB2312" w:cs="楷体"/>
          <w:color w:val="000000"/>
          <w:kern w:val="0"/>
          <w:sz w:val="32"/>
          <w:szCs w:val="32"/>
        </w:rPr>
        <w:t>（十五）市总工会：</w:t>
      </w:r>
      <w:r>
        <w:rPr>
          <w:rFonts w:hint="eastAsia" w:ascii="仿宋_GB2312" w:hAnsi="仿宋" w:eastAsia="仿宋_GB2312" w:cs="仿宋"/>
          <w:sz w:val="32"/>
          <w:szCs w:val="32"/>
        </w:rPr>
        <w:t>制定全市职工工间操方案、职工健康体检方案，优化工间操制度，继续组织培训全市机关企事业单位开展工间操活动，要求各单位开展工间操活动不少于</w:t>
      </w:r>
      <w:r>
        <w:rPr>
          <w:rFonts w:ascii="仿宋_GB2312" w:hAnsi="仿宋" w:eastAsia="仿宋_GB2312" w:cs="仿宋"/>
          <w:sz w:val="32"/>
          <w:szCs w:val="32"/>
        </w:rPr>
        <w:t>20</w:t>
      </w:r>
      <w:r>
        <w:rPr>
          <w:rFonts w:hint="eastAsia" w:ascii="仿宋_GB2312" w:hAnsi="仿宋" w:eastAsia="仿宋_GB2312" w:cs="仿宋"/>
          <w:sz w:val="32"/>
          <w:szCs w:val="32"/>
        </w:rPr>
        <w:t>分钟</w:t>
      </w:r>
      <w:r>
        <w:rPr>
          <w:rFonts w:ascii="仿宋_GB2312" w:hAnsi="仿宋" w:eastAsia="仿宋_GB2312" w:cs="仿宋"/>
          <w:sz w:val="32"/>
          <w:szCs w:val="32"/>
        </w:rPr>
        <w:t>/</w:t>
      </w:r>
      <w:r>
        <w:rPr>
          <w:rFonts w:hint="eastAsia" w:ascii="仿宋_GB2312" w:hAnsi="仿宋" w:eastAsia="仿宋_GB2312" w:cs="仿宋"/>
          <w:sz w:val="32"/>
          <w:szCs w:val="32"/>
        </w:rPr>
        <w:t>天，引导督促机关、企事业单位工会组织职工开展各种形式的健身活动，定期为职工开展健康体检、高危人群筛查等工作，督促各单位为职工提供健康、安全的生产、工作环境。</w:t>
      </w:r>
    </w:p>
    <w:p>
      <w:pPr>
        <w:spacing w:line="560" w:lineRule="exact"/>
        <w:ind w:left="1"/>
        <w:textAlignment w:val="bottom"/>
        <w:rPr>
          <w:rFonts w:ascii="仿宋_GB2312" w:hAnsi="仿宋" w:eastAsia="仿宋_GB2312" w:cs="仿宋"/>
          <w:sz w:val="32"/>
          <w:szCs w:val="32"/>
        </w:rPr>
      </w:pPr>
      <w:r>
        <w:rPr>
          <w:rFonts w:hint="eastAsia" w:ascii="仿宋" w:hAnsi="仿宋" w:eastAsia="仿宋" w:cs="仿宋"/>
          <w:sz w:val="32"/>
          <w:szCs w:val="32"/>
        </w:rPr>
        <w:t>　　</w:t>
      </w:r>
      <w:r>
        <w:rPr>
          <w:rFonts w:hint="eastAsia" w:ascii="楷体_GB2312" w:hAnsi="楷体" w:eastAsia="楷体_GB2312" w:cs="楷体"/>
          <w:color w:val="000000"/>
          <w:kern w:val="0"/>
          <w:sz w:val="32"/>
          <w:szCs w:val="32"/>
        </w:rPr>
        <w:t>（十六）市交通局：</w:t>
      </w:r>
      <w:r>
        <w:rPr>
          <w:rFonts w:hint="eastAsia" w:ascii="仿宋_GB2312" w:hAnsi="仿宋" w:eastAsia="仿宋_GB2312" w:cs="仿宋"/>
          <w:sz w:val="32"/>
          <w:szCs w:val="32"/>
        </w:rPr>
        <w:t>积极参与慢性、病防控知识宣传工作，在各类客运车辆、车站、公交站牌等公共场所区域广泛宣传慢病相关知识，扩大慢病防控知识宣传覆盖面。</w:t>
      </w:r>
    </w:p>
    <w:p>
      <w:pPr>
        <w:spacing w:line="560" w:lineRule="exact"/>
        <w:ind w:left="1" w:firstLine="640" w:firstLineChars="200"/>
        <w:textAlignment w:val="bottom"/>
        <w:rPr>
          <w:rFonts w:ascii="仿宋_GB2312" w:hAnsi="仿宋" w:eastAsia="仿宋_GB2312" w:cs="仿宋"/>
          <w:sz w:val="32"/>
          <w:szCs w:val="32"/>
        </w:rPr>
      </w:pPr>
      <w:r>
        <w:rPr>
          <w:rFonts w:hint="eastAsia" w:ascii="楷体_GB2312" w:hAnsi="楷体" w:eastAsia="楷体_GB2312" w:cs="楷体"/>
          <w:color w:val="000000"/>
          <w:kern w:val="0"/>
          <w:sz w:val="32"/>
          <w:szCs w:val="32"/>
        </w:rPr>
        <w:t>（十七）市统计局：</w:t>
      </w:r>
      <w:r>
        <w:rPr>
          <w:rFonts w:hint="eastAsia" w:ascii="仿宋_GB2312" w:hAnsi="仿宋" w:eastAsia="仿宋_GB2312" w:cs="仿宋"/>
          <w:sz w:val="32"/>
          <w:szCs w:val="32"/>
        </w:rPr>
        <w:t>提供全市人口数据、经济数据、社会情况等资料，协助卫健部门开展各种监测数据信息的收集。</w:t>
      </w:r>
    </w:p>
    <w:p>
      <w:pPr>
        <w:spacing w:line="560" w:lineRule="exact"/>
        <w:ind w:firstLine="640" w:firstLineChars="200"/>
        <w:jc w:val="left"/>
        <w:rPr>
          <w:rFonts w:ascii="仿宋_GB2312" w:hAnsi="仿宋" w:eastAsia="仿宋_GB2312" w:cs="仿宋"/>
          <w:sz w:val="32"/>
          <w:szCs w:val="32"/>
        </w:rPr>
      </w:pPr>
      <w:r>
        <w:rPr>
          <w:rFonts w:hint="eastAsia" w:ascii="楷体_GB2312" w:hAnsi="楷体" w:eastAsia="楷体_GB2312" w:cs="楷体"/>
          <w:color w:val="000000"/>
          <w:kern w:val="0"/>
          <w:sz w:val="32"/>
          <w:szCs w:val="32"/>
        </w:rPr>
        <w:t>（十八）市生态环境分局：</w:t>
      </w:r>
      <w:r>
        <w:rPr>
          <w:rFonts w:hint="eastAsia" w:ascii="仿宋_GB2312" w:hAnsi="仿宋" w:eastAsia="仿宋_GB2312" w:cs="仿宋"/>
          <w:sz w:val="32"/>
          <w:szCs w:val="32"/>
        </w:rPr>
        <w:t>负责做好全市空气监测工作</w:t>
      </w:r>
      <w:r>
        <w:rPr>
          <w:rFonts w:ascii="仿宋_GB2312" w:hAnsi="仿宋" w:eastAsia="仿宋_GB2312" w:cs="仿宋"/>
          <w:sz w:val="32"/>
          <w:szCs w:val="32"/>
        </w:rPr>
        <w:t>,</w:t>
      </w:r>
      <w:r>
        <w:rPr>
          <w:rFonts w:hint="eastAsia" w:ascii="仿宋_GB2312" w:hAnsi="仿宋" w:eastAsia="仿宋_GB2312" w:cs="仿宋"/>
          <w:sz w:val="32"/>
          <w:szCs w:val="32"/>
        </w:rPr>
        <w:t>把慢病防控政策融入环境治理中，提供年度空气质量指数（</w:t>
      </w:r>
      <w:r>
        <w:rPr>
          <w:rFonts w:ascii="仿宋_GB2312" w:hAnsi="仿宋" w:eastAsia="仿宋_GB2312" w:cs="仿宋"/>
          <w:sz w:val="32"/>
          <w:szCs w:val="32"/>
        </w:rPr>
        <w:t>AQI</w:t>
      </w:r>
      <w:r>
        <w:rPr>
          <w:rFonts w:hint="eastAsia" w:ascii="仿宋_GB2312" w:hAnsi="仿宋" w:eastAsia="仿宋_GB2312" w:cs="仿宋"/>
          <w:sz w:val="32"/>
          <w:szCs w:val="32"/>
        </w:rPr>
        <w:t>）、细颗粒物</w:t>
      </w:r>
      <w:r>
        <w:rPr>
          <w:rFonts w:ascii="仿宋_GB2312" w:hAnsi="仿宋" w:eastAsia="仿宋_GB2312" w:cs="仿宋"/>
          <w:sz w:val="32"/>
          <w:szCs w:val="32"/>
        </w:rPr>
        <w:t>PM2.5</w:t>
      </w:r>
      <w:r>
        <w:rPr>
          <w:rFonts w:hint="eastAsia" w:ascii="仿宋_GB2312" w:hAnsi="仿宋" w:eastAsia="仿宋_GB2312" w:cs="仿宋"/>
          <w:sz w:val="32"/>
          <w:szCs w:val="32"/>
        </w:rPr>
        <w:t>浓度（μ</w:t>
      </w:r>
      <w:r>
        <w:rPr>
          <w:rFonts w:ascii="仿宋_GB2312" w:hAnsi="仿宋" w:eastAsia="仿宋_GB2312" w:cs="仿宋"/>
          <w:sz w:val="32"/>
          <w:szCs w:val="32"/>
        </w:rPr>
        <w:t>g/m</w:t>
      </w:r>
      <w:r>
        <w:rPr>
          <w:rFonts w:ascii="仿宋_GB2312" w:hAnsi="仿宋" w:eastAsia="仿宋_GB2312" w:cs="仿宋"/>
          <w:sz w:val="32"/>
          <w:szCs w:val="32"/>
          <w:vertAlign w:val="superscript"/>
        </w:rPr>
        <w:t>3</w:t>
      </w:r>
      <w:r>
        <w:rPr>
          <w:rFonts w:hint="eastAsia" w:ascii="仿宋_GB2312" w:hAnsi="仿宋" w:eastAsia="仿宋_GB2312" w:cs="仿宋"/>
          <w:sz w:val="32"/>
          <w:szCs w:val="32"/>
        </w:rPr>
        <w:t>）、可吸入颗粒物</w:t>
      </w:r>
      <w:r>
        <w:rPr>
          <w:rFonts w:ascii="仿宋_GB2312" w:hAnsi="仿宋" w:eastAsia="仿宋_GB2312" w:cs="仿宋"/>
          <w:sz w:val="32"/>
          <w:szCs w:val="32"/>
        </w:rPr>
        <w:t>PM10</w:t>
      </w:r>
      <w:r>
        <w:rPr>
          <w:rFonts w:hint="eastAsia" w:ascii="仿宋_GB2312" w:hAnsi="仿宋" w:eastAsia="仿宋_GB2312" w:cs="仿宋"/>
          <w:sz w:val="32"/>
          <w:szCs w:val="32"/>
        </w:rPr>
        <w:t>浓度（μ</w:t>
      </w:r>
      <w:r>
        <w:rPr>
          <w:rFonts w:ascii="仿宋_GB2312" w:hAnsi="仿宋" w:eastAsia="仿宋_GB2312" w:cs="仿宋"/>
          <w:sz w:val="32"/>
          <w:szCs w:val="32"/>
        </w:rPr>
        <w:t>g/m</w:t>
      </w:r>
      <w:r>
        <w:rPr>
          <w:rFonts w:ascii="仿宋_GB2312" w:hAnsi="仿宋" w:eastAsia="仿宋_GB2312" w:cs="仿宋"/>
          <w:sz w:val="32"/>
          <w:szCs w:val="32"/>
          <w:vertAlign w:val="superscript"/>
        </w:rPr>
        <w:t>3</w:t>
      </w:r>
      <w:r>
        <w:rPr>
          <w:rFonts w:hint="eastAsia" w:ascii="仿宋_GB2312" w:hAnsi="仿宋" w:eastAsia="仿宋_GB2312" w:cs="仿宋"/>
          <w:sz w:val="32"/>
          <w:szCs w:val="32"/>
        </w:rPr>
        <w:t>）等相关数据，协助卫健部门开展各种监测数据信息的收集。</w:t>
      </w:r>
    </w:p>
    <w:p>
      <w:pPr>
        <w:spacing w:line="560" w:lineRule="exact"/>
        <w:ind w:left="1"/>
        <w:textAlignment w:val="bottom"/>
        <w:rPr>
          <w:rFonts w:ascii="仿宋_GB2312" w:hAnsi="仿宋" w:eastAsia="仿宋_GB2312" w:cs="仿宋"/>
          <w:sz w:val="32"/>
          <w:szCs w:val="32"/>
        </w:rPr>
      </w:pPr>
      <w:r>
        <w:rPr>
          <w:rFonts w:hint="eastAsia" w:ascii="仿宋" w:hAnsi="仿宋" w:eastAsia="仿宋" w:cs="仿宋"/>
          <w:sz w:val="32"/>
          <w:szCs w:val="32"/>
        </w:rPr>
        <w:t>　　</w:t>
      </w:r>
      <w:r>
        <w:rPr>
          <w:rFonts w:hint="eastAsia" w:ascii="楷体_GB2312" w:hAnsi="楷体" w:eastAsia="楷体_GB2312" w:cs="楷体"/>
          <w:color w:val="000000"/>
          <w:kern w:val="0"/>
          <w:sz w:val="32"/>
          <w:szCs w:val="32"/>
        </w:rPr>
        <w:t>（十九）市妇联：</w:t>
      </w:r>
      <w:r>
        <w:rPr>
          <w:rFonts w:hint="eastAsia" w:ascii="仿宋_GB2312" w:hAnsi="仿宋" w:eastAsia="仿宋_GB2312" w:cs="仿宋"/>
          <w:sz w:val="32"/>
          <w:szCs w:val="32"/>
        </w:rPr>
        <w:t>负责开展多部门参与的妇女群众健身活动，鼓励妇女广泛开展健身活动。配合卫健等有关部门开展妇女乳腺癌、宫颈癌的早诊早治筛查；协助开展妇女预防慢性病相关知识的健康教育宣传活动。</w:t>
      </w:r>
    </w:p>
    <w:p>
      <w:pPr>
        <w:spacing w:line="560" w:lineRule="exact"/>
        <w:ind w:left="1"/>
        <w:textAlignment w:val="bottom"/>
        <w:rPr>
          <w:rFonts w:ascii="仿宋_GB2312" w:hAnsi="仿宋" w:eastAsia="仿宋_GB2312" w:cs="仿宋"/>
          <w:sz w:val="32"/>
          <w:szCs w:val="32"/>
        </w:rPr>
      </w:pPr>
      <w:r>
        <w:rPr>
          <w:rFonts w:hint="eastAsia" w:ascii="仿宋" w:hAnsi="仿宋" w:eastAsia="仿宋" w:cs="仿宋"/>
          <w:color w:val="000000"/>
          <w:sz w:val="32"/>
          <w:szCs w:val="32"/>
        </w:rPr>
        <w:t>　　</w:t>
      </w:r>
      <w:r>
        <w:rPr>
          <w:rFonts w:hint="eastAsia" w:ascii="楷体_GB2312" w:hAnsi="楷体" w:eastAsia="楷体_GB2312" w:cs="楷体"/>
          <w:color w:val="000000"/>
          <w:kern w:val="0"/>
          <w:sz w:val="32"/>
          <w:szCs w:val="32"/>
        </w:rPr>
        <w:t>（二十）各机关、企事业单位：</w:t>
      </w:r>
      <w:r>
        <w:rPr>
          <w:rFonts w:hint="eastAsia" w:ascii="仿宋_GB2312" w:hAnsi="仿宋" w:eastAsia="仿宋_GB2312" w:cs="仿宋"/>
          <w:sz w:val="32"/>
          <w:szCs w:val="32"/>
        </w:rPr>
        <w:t>各机关、企事业单位结合自身实际完善健身场地相应配套设施，有条件的企事业单位健身免费或低收费向社区居民开放。提高职工福利，积极开展职工健康体检活动，鼓励条件好的企事业单位积极申请建设健康单位，积极落实工间操制度，组织健身、竞赛活动，加强健康教育、控烟等相关知识宣传力度，按要求更新健康教育专栏宣传内容，以条幅、版面、电子屏等载体，开展慢性病防控知识宣传，营造宣传氛围。</w:t>
      </w:r>
      <w:r>
        <w:rPr>
          <w:rFonts w:ascii="仿宋_GB2312" w:hAnsi="仿宋" w:eastAsia="仿宋_GB2312" w:cs="仿宋"/>
          <w:sz w:val="32"/>
          <w:szCs w:val="32"/>
        </w:rPr>
        <w:t xml:space="preserve"> </w:t>
      </w:r>
    </w:p>
    <w:p>
      <w:pPr>
        <w:spacing w:line="560" w:lineRule="exact"/>
        <w:ind w:left="1" w:firstLine="640" w:firstLineChars="200"/>
        <w:textAlignment w:val="bottom"/>
        <w:rPr>
          <w:rFonts w:ascii="仿宋_GB2312" w:hAnsi="仿宋" w:eastAsia="仿宋_GB2312" w:cs="仿宋"/>
          <w:sz w:val="32"/>
          <w:szCs w:val="32"/>
        </w:rPr>
      </w:pPr>
      <w:r>
        <w:rPr>
          <w:rFonts w:hint="eastAsia" w:ascii="楷体_GB2312" w:hAnsi="楷体" w:eastAsia="楷体_GB2312" w:cs="楷体"/>
          <w:color w:val="000000"/>
          <w:kern w:val="0"/>
          <w:sz w:val="32"/>
          <w:szCs w:val="32"/>
        </w:rPr>
        <w:t>（二十一）各乡镇、街道、管委会：</w:t>
      </w:r>
      <w:r>
        <w:rPr>
          <w:rFonts w:hint="eastAsia" w:ascii="仿宋_GB2312" w:hAnsi="仿宋" w:eastAsia="仿宋_GB2312" w:cs="仿宋"/>
          <w:sz w:val="32"/>
          <w:szCs w:val="32"/>
        </w:rPr>
        <w:t>制定本辖区健康生活方式行动计划，加大健身活动场所建设力度，设立户外大型宣传设施，营造全民健身氛围，将建立居民健身场所、宣传栏和健康教育活动室列入城乡建设规划并组织落实；指导村（居）委会建立和完善健身场所、健康教育活动室和宣传栏，及时更新健康教育宣传栏内容；组织辖区居民积极参加健康讲座；负责本辖区慢病综合防控工作的宣传发动、督导落实和建设氛围营造；根据全民健康生活方式行动计划，按照居（村）委会覆盖率</w:t>
      </w:r>
      <w:r>
        <w:rPr>
          <w:rFonts w:ascii="仿宋_GB2312" w:hAnsi="仿宋" w:eastAsia="仿宋_GB2312" w:cs="仿宋"/>
          <w:sz w:val="32"/>
          <w:szCs w:val="32"/>
        </w:rPr>
        <w:t>40%</w:t>
      </w:r>
      <w:r>
        <w:rPr>
          <w:rFonts w:hint="eastAsia" w:ascii="仿宋_GB2312" w:hAnsi="仿宋" w:eastAsia="仿宋_GB2312" w:cs="仿宋"/>
          <w:sz w:val="32"/>
          <w:szCs w:val="32"/>
        </w:rPr>
        <w:t>的标准建设健康社区；根据本辖区各社区的基本情况，建设</w:t>
      </w:r>
      <w:r>
        <w:rPr>
          <w:rFonts w:ascii="仿宋_GB2312" w:hAnsi="仿宋" w:eastAsia="仿宋_GB2312" w:cs="仿宋"/>
          <w:sz w:val="32"/>
          <w:szCs w:val="32"/>
        </w:rPr>
        <w:t>15</w:t>
      </w:r>
      <w:r>
        <w:rPr>
          <w:rFonts w:hint="eastAsia" w:ascii="仿宋_GB2312" w:hAnsi="仿宋" w:eastAsia="仿宋_GB2312" w:cs="仿宋"/>
          <w:sz w:val="32"/>
          <w:szCs w:val="32"/>
        </w:rPr>
        <w:t>分钟健身圈，要求健身设施完好无损；在本辖区组建至少</w:t>
      </w:r>
      <w:r>
        <w:rPr>
          <w:rFonts w:ascii="仿宋_GB2312" w:hAnsi="仿宋" w:eastAsia="仿宋_GB2312" w:cs="仿宋"/>
          <w:sz w:val="32"/>
          <w:szCs w:val="32"/>
        </w:rPr>
        <w:t>1</w:t>
      </w:r>
      <w:r>
        <w:rPr>
          <w:rFonts w:hint="eastAsia" w:ascii="仿宋_GB2312" w:hAnsi="仿宋" w:eastAsia="仿宋_GB2312" w:cs="仿宋"/>
          <w:sz w:val="32"/>
          <w:szCs w:val="32"/>
        </w:rPr>
        <w:t>个群众性健身活动团体，配有健康指导员和志愿者，每季度至少组织开展</w:t>
      </w:r>
      <w:r>
        <w:rPr>
          <w:rFonts w:ascii="仿宋_GB2312" w:hAnsi="仿宋" w:eastAsia="仿宋_GB2312" w:cs="仿宋"/>
          <w:sz w:val="32"/>
          <w:szCs w:val="32"/>
        </w:rPr>
        <w:t>1</w:t>
      </w:r>
      <w:r>
        <w:rPr>
          <w:rFonts w:hint="eastAsia" w:ascii="仿宋_GB2312" w:hAnsi="仿宋" w:eastAsia="仿宋_GB2312" w:cs="仿宋"/>
          <w:sz w:val="32"/>
          <w:szCs w:val="32"/>
        </w:rPr>
        <w:t>次活动；鼓励社区慢病患者积极参加慢病患者自我管理小组活动；配合有关部门做好慢病防控各项监测、社会因素调查和健康教育等工作，通过条幅、标语、墙体广告等形式，进行广泛宣传，营造慢病示范区建设的氛围。</w:t>
      </w:r>
    </w:p>
    <w:p>
      <w:pPr>
        <w:spacing w:line="560" w:lineRule="exact"/>
        <w:ind w:left="1"/>
        <w:textAlignment w:val="bottom"/>
        <w:rPr>
          <w:rFonts w:ascii="仿宋" w:hAnsi="仿宋" w:eastAsia="仿宋" w:cs="仿宋"/>
          <w:color w:val="000000"/>
          <w:sz w:val="32"/>
          <w:szCs w:val="32"/>
        </w:rPr>
      </w:pPr>
      <w:r>
        <w:rPr>
          <w:rFonts w:hint="eastAsia" w:ascii="仿宋" w:hAnsi="仿宋" w:eastAsia="仿宋" w:cs="仿宋"/>
          <w:color w:val="000000"/>
          <w:sz w:val="32"/>
          <w:szCs w:val="32"/>
        </w:rPr>
        <w:t>　</w:t>
      </w:r>
      <w:r>
        <w:rPr>
          <w:rFonts w:hint="eastAsia" w:ascii="黑体" w:hAnsi="黑体" w:eastAsia="黑体" w:cs="黑体"/>
          <w:color w:val="000000"/>
          <w:kern w:val="0"/>
          <w:sz w:val="32"/>
          <w:szCs w:val="32"/>
        </w:rPr>
        <w:t>　五、工作步骤</w:t>
      </w:r>
      <w:r>
        <w:rPr>
          <w:rFonts w:ascii="黑体" w:hAnsi="黑体" w:eastAsia="黑体" w:cs="黑体"/>
          <w:color w:val="000000"/>
          <w:kern w:val="0"/>
          <w:sz w:val="32"/>
          <w:szCs w:val="32"/>
        </w:rPr>
        <w:t xml:space="preserve"> </w:t>
      </w:r>
    </w:p>
    <w:p>
      <w:pPr>
        <w:spacing w:line="560" w:lineRule="exact"/>
        <w:ind w:left="1"/>
        <w:textAlignment w:val="bottom"/>
        <w:rPr>
          <w:rFonts w:ascii="楷体_GB2312" w:hAnsi="楷体" w:eastAsia="楷体_GB2312" w:cs="楷体"/>
          <w:color w:val="000000"/>
          <w:kern w:val="0"/>
          <w:sz w:val="32"/>
          <w:szCs w:val="32"/>
        </w:rPr>
      </w:pPr>
      <w:r>
        <w:rPr>
          <w:rFonts w:hint="eastAsia" w:ascii="仿宋" w:hAnsi="仿宋" w:eastAsia="仿宋" w:cs="仿宋"/>
          <w:color w:val="000000"/>
          <w:sz w:val="32"/>
          <w:szCs w:val="32"/>
        </w:rPr>
        <w:t>　　</w:t>
      </w:r>
      <w:r>
        <w:rPr>
          <w:rFonts w:hint="eastAsia" w:ascii="楷体_GB2312" w:hAnsi="楷体" w:eastAsia="楷体_GB2312" w:cs="楷体"/>
          <w:color w:val="000000"/>
          <w:kern w:val="0"/>
          <w:sz w:val="32"/>
          <w:szCs w:val="32"/>
        </w:rPr>
        <w:t>（一）动员部署阶段</w:t>
      </w:r>
    </w:p>
    <w:p>
      <w:pPr>
        <w:spacing w:line="560" w:lineRule="exact"/>
        <w:ind w:left="1" w:firstLine="640" w:firstLineChars="200"/>
        <w:textAlignment w:val="bottom"/>
        <w:rPr>
          <w:rFonts w:ascii="仿宋_GB2312" w:hAnsi="仿宋" w:eastAsia="仿宋_GB2312" w:cs="仿宋"/>
          <w:sz w:val="32"/>
          <w:szCs w:val="32"/>
        </w:rPr>
      </w:pPr>
      <w:r>
        <w:rPr>
          <w:rFonts w:hint="eastAsia" w:ascii="仿宋_GB2312" w:hAnsi="仿宋" w:eastAsia="仿宋_GB2312" w:cs="仿宋"/>
          <w:sz w:val="32"/>
          <w:szCs w:val="32"/>
        </w:rPr>
        <w:t>每年年初根据人事变动，及时调整新郑市慢性非传染性疾病综合防控示范区建设工作领导小组组成人员和专家技术指导组人员，抽调各成员单位专职人员组成联合督查组，明确工作职责。收集慢病示范区动态管理相关数据，每年</w:t>
      </w:r>
      <w:r>
        <w:rPr>
          <w:rFonts w:ascii="仿宋_GB2312" w:hAnsi="仿宋" w:eastAsia="仿宋_GB2312" w:cs="仿宋"/>
          <w:sz w:val="32"/>
          <w:szCs w:val="32"/>
        </w:rPr>
        <w:t>3</w:t>
      </w:r>
      <w:r>
        <w:rPr>
          <w:rFonts w:hint="eastAsia" w:ascii="仿宋_GB2312" w:hAnsi="仿宋" w:eastAsia="仿宋_GB2312" w:cs="仿宋"/>
          <w:sz w:val="32"/>
          <w:szCs w:val="32"/>
        </w:rPr>
        <w:t>月底前网络上报国家慢病示范区动态信息管理系统。召开慢病示范区建设工作动员会，部署各项工作任务。</w:t>
      </w:r>
      <w:r>
        <w:rPr>
          <w:rFonts w:ascii="仿宋_GB2312" w:hAnsi="仿宋" w:eastAsia="仿宋_GB2312" w:cs="仿宋"/>
          <w:sz w:val="32"/>
          <w:szCs w:val="32"/>
        </w:rPr>
        <w:t xml:space="preserve"> </w:t>
      </w:r>
    </w:p>
    <w:p>
      <w:pPr>
        <w:spacing w:line="560" w:lineRule="exact"/>
        <w:ind w:left="1"/>
        <w:textAlignment w:val="bottom"/>
        <w:rPr>
          <w:rFonts w:ascii="楷体_GB2312" w:hAnsi="楷体" w:eastAsia="楷体_GB2312" w:cs="楷体"/>
          <w:color w:val="000000"/>
          <w:kern w:val="0"/>
          <w:sz w:val="32"/>
          <w:szCs w:val="32"/>
        </w:rPr>
      </w:pPr>
      <w:r>
        <w:rPr>
          <w:rFonts w:hint="eastAsia" w:ascii="仿宋" w:hAnsi="仿宋" w:eastAsia="仿宋" w:cs="仿宋"/>
          <w:color w:val="000000"/>
          <w:sz w:val="32"/>
          <w:szCs w:val="32"/>
        </w:rPr>
        <w:t>　　</w:t>
      </w:r>
      <w:r>
        <w:rPr>
          <w:rFonts w:hint="eastAsia" w:ascii="楷体_GB2312" w:hAnsi="楷体" w:eastAsia="楷体_GB2312" w:cs="楷体"/>
          <w:color w:val="000000"/>
          <w:kern w:val="0"/>
          <w:sz w:val="32"/>
          <w:szCs w:val="32"/>
        </w:rPr>
        <w:t>（二）实施建设阶段（</w:t>
      </w:r>
      <w:r>
        <w:rPr>
          <w:rFonts w:ascii="楷体_GB2312" w:hAnsi="楷体" w:eastAsia="楷体_GB2312" w:cs="楷体"/>
          <w:color w:val="000000"/>
          <w:kern w:val="0"/>
          <w:sz w:val="32"/>
          <w:szCs w:val="32"/>
        </w:rPr>
        <w:t>2021—2025</w:t>
      </w:r>
      <w:r>
        <w:rPr>
          <w:rFonts w:hint="eastAsia" w:ascii="楷体_GB2312" w:hAnsi="楷体" w:eastAsia="楷体_GB2312" w:cs="楷体"/>
          <w:color w:val="000000"/>
          <w:kern w:val="0"/>
          <w:sz w:val="32"/>
          <w:szCs w:val="32"/>
        </w:rPr>
        <w:t>年）</w:t>
      </w:r>
    </w:p>
    <w:p>
      <w:pPr>
        <w:spacing w:line="560" w:lineRule="exact"/>
        <w:ind w:left="1" w:firstLine="640" w:firstLineChars="200"/>
        <w:textAlignment w:val="bottom"/>
        <w:rPr>
          <w:rFonts w:ascii="仿宋_GB2312" w:hAnsi="仿宋" w:eastAsia="仿宋_GB2312" w:cs="仿宋"/>
          <w:sz w:val="32"/>
          <w:szCs w:val="32"/>
        </w:rPr>
      </w:pPr>
      <w:r>
        <w:rPr>
          <w:rFonts w:hint="eastAsia" w:ascii="仿宋_GB2312" w:hAnsi="仿宋" w:eastAsia="仿宋_GB2312" w:cs="仿宋"/>
          <w:sz w:val="32"/>
          <w:szCs w:val="32"/>
        </w:rPr>
        <w:t>各级各部门按照职责分工，积极落实国家慢病示范区建设任务分解；专家技术指导组联合督导组对各级各部门开展慢病防控常态化指导和督导；慢病示范区建设领导小组办公室组织召开联络员会议，布置临时工作任务，及时收集、整理各相关资料。各相关单位及时报送工作数据等资料至慢病示范区建设领导小组办公室（邮箱：</w:t>
      </w:r>
      <w:r>
        <w:rPr>
          <w:rFonts w:ascii="仿宋_GB2312" w:hAnsi="仿宋" w:eastAsia="仿宋_GB2312" w:cs="仿宋"/>
          <w:sz w:val="32"/>
          <w:szCs w:val="32"/>
        </w:rPr>
        <w:t>xzmbcjbgs@163.com</w:t>
      </w:r>
      <w:r>
        <w:rPr>
          <w:rFonts w:hint="eastAsia" w:ascii="仿宋_GB2312" w:hAnsi="仿宋" w:eastAsia="仿宋_GB2312" w:cs="仿宋"/>
          <w:sz w:val="32"/>
          <w:szCs w:val="32"/>
        </w:rPr>
        <w:t>，电话</w:t>
      </w:r>
      <w:r>
        <w:rPr>
          <w:rFonts w:ascii="仿宋_GB2312" w:hAnsi="仿宋" w:eastAsia="仿宋_GB2312" w:cs="仿宋"/>
          <w:sz w:val="32"/>
          <w:szCs w:val="32"/>
        </w:rPr>
        <w:t>63200729</w:t>
      </w:r>
      <w:r>
        <w:rPr>
          <w:rFonts w:hint="eastAsia" w:ascii="仿宋_GB2312" w:hAnsi="仿宋" w:eastAsia="仿宋_GB2312" w:cs="仿宋"/>
          <w:sz w:val="32"/>
          <w:szCs w:val="32"/>
        </w:rPr>
        <w:t>），为国家专家考核组五年一阶段慢病示范区建设工作的指导、现场调研和综合考核评估做好准备。</w:t>
      </w:r>
    </w:p>
    <w:p>
      <w:pPr>
        <w:spacing w:line="560" w:lineRule="exact"/>
        <w:ind w:firstLine="640" w:firstLineChars="200"/>
        <w:rPr>
          <w:rFonts w:ascii="楷体_GB2312" w:hAnsi="楷体" w:eastAsia="楷体_GB2312" w:cs="楷体"/>
          <w:color w:val="000000"/>
          <w:kern w:val="0"/>
          <w:sz w:val="32"/>
          <w:szCs w:val="32"/>
        </w:rPr>
      </w:pPr>
      <w:r>
        <w:rPr>
          <w:rFonts w:hint="eastAsia" w:ascii="楷体_GB2312" w:hAnsi="楷体" w:eastAsia="楷体_GB2312" w:cs="楷体"/>
          <w:color w:val="000000"/>
          <w:kern w:val="0"/>
          <w:sz w:val="32"/>
          <w:szCs w:val="32"/>
        </w:rPr>
        <w:t>（三）届满复审、自查迎检阶段（</w:t>
      </w:r>
      <w:r>
        <w:rPr>
          <w:rFonts w:ascii="楷体_GB2312" w:hAnsi="楷体" w:eastAsia="楷体_GB2312" w:cs="楷体"/>
          <w:color w:val="000000"/>
          <w:kern w:val="0"/>
          <w:sz w:val="32"/>
          <w:szCs w:val="32"/>
        </w:rPr>
        <w:t>2022</w:t>
      </w:r>
      <w:r>
        <w:rPr>
          <w:rFonts w:hint="eastAsia" w:ascii="楷体_GB2312" w:hAnsi="楷体" w:eastAsia="楷体_GB2312" w:cs="楷体"/>
          <w:color w:val="000000"/>
          <w:kern w:val="0"/>
          <w:sz w:val="32"/>
          <w:szCs w:val="32"/>
        </w:rPr>
        <w:t>年）</w:t>
      </w:r>
    </w:p>
    <w:p>
      <w:pPr>
        <w:spacing w:line="560" w:lineRule="exact"/>
        <w:ind w:left="1" w:firstLine="640" w:firstLineChars="200"/>
        <w:textAlignment w:val="bottom"/>
        <w:rPr>
          <w:rFonts w:ascii="仿宋_GB2312" w:hAnsi="仿宋" w:eastAsia="仿宋_GB2312" w:cs="仿宋"/>
          <w:sz w:val="32"/>
          <w:szCs w:val="32"/>
        </w:rPr>
      </w:pPr>
      <w:r>
        <w:rPr>
          <w:rFonts w:hint="eastAsia" w:ascii="仿宋_GB2312" w:hAnsi="仿宋" w:eastAsia="仿宋_GB2312" w:cs="仿宋"/>
          <w:sz w:val="32"/>
          <w:szCs w:val="32"/>
        </w:rPr>
        <w:t>全面做好自评报告、档案材料、影像资料、迎检现场等准备工作，在复审年度顺利通过国家复审验收。</w:t>
      </w:r>
    </w:p>
    <w:p>
      <w:pPr>
        <w:spacing w:line="560" w:lineRule="exact"/>
        <w:ind w:firstLine="640" w:firstLineChars="200"/>
        <w:rPr>
          <w:rFonts w:ascii="楷体_GB2312" w:hAnsi="楷体" w:eastAsia="楷体_GB2312" w:cs="楷体"/>
          <w:color w:val="000000"/>
          <w:kern w:val="0"/>
          <w:sz w:val="32"/>
          <w:szCs w:val="32"/>
        </w:rPr>
      </w:pPr>
      <w:r>
        <w:rPr>
          <w:rFonts w:hint="eastAsia" w:ascii="楷体_GB2312" w:hAnsi="楷体" w:eastAsia="楷体_GB2312" w:cs="楷体"/>
          <w:color w:val="000000"/>
          <w:kern w:val="0"/>
          <w:sz w:val="32"/>
          <w:szCs w:val="32"/>
        </w:rPr>
        <w:t>（四）巩固实施阶段</w:t>
      </w:r>
    </w:p>
    <w:p>
      <w:pPr>
        <w:spacing w:line="560" w:lineRule="exact"/>
        <w:ind w:left="1" w:firstLine="640" w:firstLineChars="200"/>
        <w:textAlignment w:val="bottom"/>
        <w:rPr>
          <w:rFonts w:ascii="仿宋_GB2312" w:hAnsi="仿宋" w:eastAsia="仿宋_GB2312" w:cs="仿宋"/>
          <w:sz w:val="32"/>
          <w:szCs w:val="32"/>
        </w:rPr>
      </w:pPr>
      <w:r>
        <w:rPr>
          <w:rFonts w:hint="eastAsia" w:ascii="仿宋_GB2312" w:hAnsi="仿宋" w:eastAsia="仿宋_GB2312" w:cs="仿宋"/>
          <w:sz w:val="32"/>
          <w:szCs w:val="32"/>
        </w:rPr>
        <w:t>巩固国家慢病示范区建设工作成果，根据慢病示范区建设工作要求，进一步拓展工作内涵。</w:t>
      </w:r>
    </w:p>
    <w:p>
      <w:pPr>
        <w:spacing w:line="56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六、保障措施</w:t>
      </w:r>
    </w:p>
    <w:p>
      <w:pPr>
        <w:spacing w:line="560" w:lineRule="exact"/>
        <w:ind w:firstLine="640" w:firstLineChars="200"/>
        <w:textAlignment w:val="bottom"/>
        <w:rPr>
          <w:rFonts w:ascii="仿宋_GB2312" w:hAnsi="仿宋" w:eastAsia="仿宋_GB2312" w:cs="仿宋"/>
          <w:sz w:val="32"/>
          <w:szCs w:val="32"/>
        </w:rPr>
      </w:pPr>
      <w:r>
        <w:rPr>
          <w:rFonts w:hint="eastAsia" w:ascii="楷体_GB2312" w:hAnsi="楷体" w:eastAsia="楷体_GB2312" w:cs="楷体"/>
          <w:color w:val="000000"/>
          <w:kern w:val="0"/>
          <w:sz w:val="32"/>
          <w:szCs w:val="32"/>
        </w:rPr>
        <w:t>（一）组织领导。</w:t>
      </w:r>
      <w:r>
        <w:rPr>
          <w:rFonts w:hint="eastAsia" w:ascii="仿宋_GB2312" w:hAnsi="仿宋" w:eastAsia="仿宋_GB2312" w:cs="仿宋"/>
          <w:sz w:val="32"/>
          <w:szCs w:val="32"/>
        </w:rPr>
        <w:t>根据人事变动，对新郑市慢病示范区建设工作领导小组组成人员进行调整，建立完善多部门工作协调制度，明确各部门职责并建立联络员制度。定期组织召开领导小组会议和联络员会议（领导小组会议至少一年一次，联络员会议根据实际情况召开）。领导小组下设办公室，办公地点设在市卫健委，负责工作规划与计划制定、组织实施、协调管理、督导检查和考核评估。成立由相关领域专家组成的技术指导专家组，负责技术指导和决策咨询。</w:t>
      </w:r>
    </w:p>
    <w:p>
      <w:pPr>
        <w:spacing w:line="560" w:lineRule="exact"/>
        <w:ind w:firstLine="640" w:firstLineChars="200"/>
        <w:textAlignment w:val="bottom"/>
        <w:rPr>
          <w:rFonts w:ascii="仿宋_GB2312" w:hAnsi="仿宋" w:eastAsia="仿宋_GB2312" w:cs="仿宋"/>
          <w:sz w:val="32"/>
          <w:szCs w:val="32"/>
        </w:rPr>
      </w:pPr>
      <w:r>
        <w:rPr>
          <w:rFonts w:hint="eastAsia" w:ascii="楷体_GB2312" w:hAnsi="楷体" w:eastAsia="楷体_GB2312" w:cs="楷体"/>
          <w:color w:val="000000"/>
          <w:kern w:val="0"/>
          <w:sz w:val="32"/>
          <w:szCs w:val="32"/>
        </w:rPr>
        <w:t>（二）经费保障。</w:t>
      </w:r>
      <w:r>
        <w:rPr>
          <w:rFonts w:hint="eastAsia" w:ascii="仿宋_GB2312" w:hAnsi="仿宋" w:eastAsia="仿宋_GB2312" w:cs="仿宋"/>
          <w:sz w:val="32"/>
          <w:szCs w:val="32"/>
        </w:rPr>
        <w:t>将慢病示范区建设工作纳入政府的议事日程，慢性病防控工作经费纳入财政预算，安排专项经费。建立政府主导、社会力量支持的慢性病综合防控工作经费保障机制，保障工作长久可持续发展。</w:t>
      </w:r>
    </w:p>
    <w:p>
      <w:pPr>
        <w:spacing w:line="560" w:lineRule="exact"/>
        <w:ind w:left="1" w:firstLine="640" w:firstLineChars="200"/>
        <w:textAlignment w:val="bottom"/>
        <w:rPr>
          <w:rFonts w:ascii="仿宋_GB2312" w:hAnsi="仿宋" w:eastAsia="仿宋_GB2312" w:cs="仿宋"/>
          <w:sz w:val="32"/>
          <w:szCs w:val="32"/>
        </w:rPr>
      </w:pPr>
      <w:r>
        <w:rPr>
          <w:rFonts w:hint="eastAsia" w:ascii="楷体_GB2312" w:hAnsi="楷体" w:eastAsia="楷体_GB2312" w:cs="楷体"/>
          <w:color w:val="000000"/>
          <w:kern w:val="0"/>
          <w:sz w:val="32"/>
          <w:szCs w:val="32"/>
        </w:rPr>
        <w:t>（三）加强督查评比。</w:t>
      </w:r>
      <w:r>
        <w:rPr>
          <w:rFonts w:hint="eastAsia" w:ascii="仿宋_GB2312" w:hAnsi="仿宋" w:eastAsia="仿宋_GB2312" w:cs="仿宋"/>
          <w:sz w:val="32"/>
          <w:szCs w:val="32"/>
        </w:rPr>
        <w:t>领导小组各成员单位要</w:t>
      </w:r>
      <w:r>
        <w:rPr>
          <w:rFonts w:hint="eastAsia" w:ascii="仿宋_GB2312" w:hAnsi="楷体" w:eastAsia="仿宋_GB2312" w:cs="楷体"/>
          <w:color w:val="000000"/>
          <w:kern w:val="0"/>
          <w:sz w:val="32"/>
          <w:szCs w:val="32"/>
        </w:rPr>
        <w:t>把</w:t>
      </w:r>
      <w:r>
        <w:rPr>
          <w:rFonts w:hint="eastAsia" w:ascii="仿宋_GB2312" w:hAnsi="仿宋" w:eastAsia="仿宋_GB2312" w:cs="仿宋"/>
          <w:sz w:val="32"/>
          <w:szCs w:val="32"/>
        </w:rPr>
        <w:t>慢性病综合防控工作列为本单位重点，按照职责分工认真落实。领导小组办公室、专家技术指导组、各督导组要加大对建设工作的指导、督查力度，做到督导常态化，定期召开联席会议和联络员会议，及时通报各成员单位建设工作的进展情况，协调解决建设过程中存在的困难和问题，确保各项措施落到实处。对工作开展好的单位和个人进行表彰，对工作不力的单位和个人进行通报批评。</w:t>
      </w:r>
    </w:p>
    <w:p>
      <w:pPr>
        <w:pStyle w:val="2"/>
        <w:spacing w:line="560" w:lineRule="exact"/>
        <w:ind w:firstLine="0" w:firstLineChars="0"/>
        <w:rPr>
          <w:rFonts w:ascii="仿宋_GB2312" w:eastAsia="仿宋_GB2312"/>
        </w:rPr>
      </w:pPr>
    </w:p>
    <w:p>
      <w:pPr>
        <w:spacing w:line="560" w:lineRule="exact"/>
        <w:jc w:val="left"/>
        <w:textAlignment w:val="bottom"/>
        <w:rPr>
          <w:rFonts w:ascii="仿宋_GB2312" w:hAnsi="仿宋" w:eastAsia="仿宋_GB2312" w:cs="仿宋"/>
          <w:sz w:val="32"/>
          <w:szCs w:val="32"/>
        </w:rPr>
      </w:pPr>
      <w:r>
        <w:rPr>
          <w:rFonts w:hint="eastAsia" w:ascii="仿宋_GB2312" w:hAnsi="仿宋" w:eastAsia="仿宋_GB2312" w:cs="仿宋"/>
          <w:sz w:val="32"/>
          <w:szCs w:val="32"/>
        </w:rPr>
        <w:t>　　附件：</w:t>
      </w:r>
      <w:r>
        <w:rPr>
          <w:rFonts w:ascii="仿宋_GB2312" w:hAnsi="仿宋" w:eastAsia="仿宋_GB2312" w:cs="仿宋"/>
          <w:sz w:val="32"/>
          <w:szCs w:val="32"/>
        </w:rPr>
        <w:t>1.</w:t>
      </w:r>
      <w:r>
        <w:rPr>
          <w:rFonts w:hint="eastAsia" w:ascii="仿宋_GB2312" w:hAnsi="仿宋" w:eastAsia="仿宋_GB2312" w:cs="仿宋"/>
          <w:sz w:val="32"/>
          <w:szCs w:val="32"/>
        </w:rPr>
        <w:t>调整后的新郑市慢性非传染性疾病综合防控示范区</w:t>
      </w:r>
    </w:p>
    <w:p>
      <w:pPr>
        <w:spacing w:line="560" w:lineRule="exact"/>
        <w:jc w:val="left"/>
        <w:textAlignment w:val="bottom"/>
        <w:rPr>
          <w:rFonts w:ascii="仿宋_GB2312" w:hAnsi="仿宋" w:eastAsia="仿宋_GB2312" w:cs="仿宋"/>
          <w:sz w:val="32"/>
          <w:szCs w:val="32"/>
        </w:rPr>
      </w:pPr>
      <w:r>
        <w:rPr>
          <w:rFonts w:hint="eastAsia" w:ascii="仿宋_GB2312" w:hAnsi="仿宋" w:eastAsia="仿宋_GB2312" w:cs="仿宋"/>
          <w:sz w:val="32"/>
          <w:szCs w:val="32"/>
        </w:rPr>
        <w:t>　　　　　</w:t>
      </w:r>
      <w:r>
        <w:rPr>
          <w:rFonts w:ascii="仿宋_GB2312" w:hAnsi="仿宋" w:eastAsia="仿宋_GB2312" w:cs="仿宋"/>
          <w:sz w:val="32"/>
          <w:szCs w:val="32"/>
        </w:rPr>
        <w:t xml:space="preserve">  </w:t>
      </w:r>
      <w:r>
        <w:rPr>
          <w:rFonts w:hint="eastAsia" w:ascii="仿宋_GB2312" w:hAnsi="仿宋" w:eastAsia="仿宋_GB2312" w:cs="仿宋"/>
          <w:sz w:val="32"/>
          <w:szCs w:val="32"/>
        </w:rPr>
        <w:t>建设工作领导小组组成人员名单</w:t>
      </w:r>
    </w:p>
    <w:p>
      <w:pPr>
        <w:spacing w:line="560" w:lineRule="exact"/>
        <w:ind w:firstLine="1507" w:firstLineChars="550"/>
        <w:rPr>
          <w:rFonts w:ascii="仿宋_GB2312" w:hAnsi="仿宋" w:eastAsia="仿宋_GB2312" w:cs="仿宋"/>
          <w:spacing w:val="-23"/>
          <w:sz w:val="32"/>
          <w:szCs w:val="32"/>
        </w:rPr>
      </w:pPr>
      <w:r>
        <w:rPr>
          <w:rFonts w:ascii="仿宋_GB2312" w:hAnsi="仿宋" w:eastAsia="仿宋_GB2312" w:cs="仿宋"/>
          <w:spacing w:val="-23"/>
          <w:sz w:val="32"/>
          <w:szCs w:val="32"/>
          <w:shd w:val="clear" w:color="auto" w:fill="FFFFFF"/>
        </w:rPr>
        <w:t>2.</w:t>
      </w:r>
      <w:r>
        <w:rPr>
          <w:rFonts w:hint="eastAsia" w:ascii="仿宋_GB2312" w:hAnsi="仿宋" w:eastAsia="仿宋_GB2312" w:cs="仿宋"/>
          <w:spacing w:val="-23"/>
          <w:sz w:val="32"/>
          <w:szCs w:val="32"/>
        </w:rPr>
        <w:t>慢性病综合防控示范区建设指标体系及任务分解（</w:t>
      </w:r>
      <w:r>
        <w:rPr>
          <w:rFonts w:ascii="仿宋_GB2312" w:hAnsi="仿宋" w:eastAsia="仿宋_GB2312" w:cs="仿宋"/>
          <w:spacing w:val="-23"/>
          <w:sz w:val="32"/>
          <w:szCs w:val="32"/>
        </w:rPr>
        <w:t>2020</w:t>
      </w:r>
      <w:r>
        <w:rPr>
          <w:rFonts w:hint="eastAsia" w:ascii="仿宋_GB2312" w:hAnsi="仿宋" w:eastAsia="仿宋_GB2312" w:cs="仿宋"/>
          <w:spacing w:val="-23"/>
          <w:sz w:val="32"/>
          <w:szCs w:val="32"/>
        </w:rPr>
        <w:t>版）</w:t>
      </w:r>
    </w:p>
    <w:p>
      <w:pPr>
        <w:spacing w:line="560" w:lineRule="exact"/>
        <w:jc w:val="left"/>
        <w:textAlignment w:val="bottom"/>
        <w:rPr>
          <w:rFonts w:ascii="仿宋" w:hAnsi="仿宋" w:eastAsia="仿宋" w:cs="仿宋"/>
          <w:sz w:val="32"/>
          <w:szCs w:val="32"/>
        </w:rPr>
      </w:pPr>
    </w:p>
    <w:p>
      <w:pPr>
        <w:spacing w:line="560" w:lineRule="exact"/>
        <w:jc w:val="left"/>
        <w:textAlignment w:val="bottom"/>
        <w:rPr>
          <w:rFonts w:ascii="仿宋" w:hAnsi="仿宋" w:eastAsia="仿宋" w:cs="仿宋"/>
          <w:sz w:val="32"/>
          <w:szCs w:val="32"/>
        </w:rPr>
      </w:pPr>
    </w:p>
    <w:p>
      <w:pPr>
        <w:pStyle w:val="2"/>
        <w:ind w:firstLine="31680"/>
        <w:rPr>
          <w:rFonts w:ascii="仿宋" w:hAnsi="仿宋" w:eastAsia="仿宋" w:cs="仿宋"/>
        </w:rPr>
      </w:pPr>
    </w:p>
    <w:p>
      <w:pPr>
        <w:rPr>
          <w:rFonts w:ascii="仿宋" w:hAnsi="仿宋" w:eastAsia="仿宋" w:cs="仿宋"/>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pStyle w:val="2"/>
        <w:ind w:firstLine="31680"/>
        <w:rPr>
          <w:lang w:val="en-US"/>
        </w:rPr>
      </w:pPr>
    </w:p>
    <w:p>
      <w:pPr>
        <w:spacing w:line="70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调整后的新郑市慢性非传染性</w:t>
      </w:r>
    </w:p>
    <w:p>
      <w:pPr>
        <w:spacing w:line="70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疾病综合防控示范区建设工作领导小组</w:t>
      </w:r>
    </w:p>
    <w:p>
      <w:pPr>
        <w:spacing w:line="70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组成人员名单</w:t>
      </w:r>
    </w:p>
    <w:p>
      <w:pPr>
        <w:spacing w:line="560" w:lineRule="exact"/>
        <w:jc w:val="center"/>
        <w:rPr>
          <w:rFonts w:ascii="仿宋" w:hAnsi="仿宋" w:eastAsia="仿宋" w:cs="仿宋"/>
          <w:sz w:val="32"/>
          <w:szCs w:val="32"/>
        </w:rPr>
      </w:pPr>
    </w:p>
    <w:p>
      <w:pPr>
        <w:spacing w:line="560" w:lineRule="exact"/>
        <w:rPr>
          <w:rFonts w:ascii="仿宋_GB2312" w:hAnsi="仿宋" w:eastAsia="仿宋_GB2312" w:cs="仿宋"/>
          <w:sz w:val="32"/>
          <w:szCs w:val="32"/>
        </w:rPr>
      </w:pPr>
      <w:r>
        <w:rPr>
          <w:rFonts w:hint="eastAsia" w:ascii="黑体" w:hAnsi="黑体" w:eastAsia="黑体" w:cs="黑体"/>
          <w:color w:val="000000"/>
          <w:kern w:val="0"/>
          <w:sz w:val="32"/>
          <w:szCs w:val="32"/>
        </w:rPr>
        <w:t>　　组　　</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长：</w:t>
      </w:r>
      <w:r>
        <w:rPr>
          <w:rFonts w:hint="eastAsia" w:ascii="仿宋_GB2312" w:hAnsi="仿宋" w:eastAsia="仿宋_GB2312" w:cs="仿宋"/>
          <w:sz w:val="32"/>
          <w:szCs w:val="32"/>
        </w:rPr>
        <w:t>马宏伟　市委副书记、市长</w:t>
      </w:r>
    </w:p>
    <w:p>
      <w:pPr>
        <w:spacing w:line="560" w:lineRule="exact"/>
        <w:rPr>
          <w:rFonts w:ascii="仿宋_GB2312" w:hAnsi="仿宋" w:eastAsia="仿宋_GB2312" w:cs="仿宋"/>
          <w:sz w:val="32"/>
          <w:szCs w:val="32"/>
        </w:rPr>
      </w:pPr>
      <w:r>
        <w:rPr>
          <w:rFonts w:hint="eastAsia" w:ascii="黑体" w:hAnsi="黑体" w:eastAsia="黑体" w:cs="黑体"/>
          <w:color w:val="000000"/>
          <w:kern w:val="0"/>
          <w:sz w:val="32"/>
          <w:szCs w:val="32"/>
        </w:rPr>
        <w:t>　　常务副组长：</w:t>
      </w:r>
      <w:r>
        <w:rPr>
          <w:rFonts w:hint="eastAsia" w:ascii="仿宋_GB2312" w:hAnsi="仿宋" w:eastAsia="仿宋_GB2312" w:cs="仿宋"/>
          <w:sz w:val="32"/>
          <w:szCs w:val="32"/>
        </w:rPr>
        <w:t>张慧娴　市委常委、常务副市长</w:t>
      </w:r>
    </w:p>
    <w:p>
      <w:pPr>
        <w:spacing w:line="560" w:lineRule="exact"/>
        <w:ind w:firstLine="640"/>
        <w:rPr>
          <w:rFonts w:ascii="仿宋_GB2312" w:hAnsi="仿宋" w:eastAsia="仿宋_GB2312" w:cs="仿宋"/>
          <w:sz w:val="32"/>
          <w:szCs w:val="32"/>
        </w:rPr>
      </w:pPr>
      <w:r>
        <w:rPr>
          <w:rFonts w:hint="eastAsia" w:ascii="黑体" w:hAnsi="黑体" w:eastAsia="黑体" w:cs="黑体"/>
          <w:color w:val="000000"/>
          <w:kern w:val="0"/>
          <w:sz w:val="32"/>
          <w:szCs w:val="32"/>
        </w:rPr>
        <w:t>副　组　长：</w:t>
      </w:r>
      <w:r>
        <w:rPr>
          <w:rFonts w:hint="eastAsia" w:ascii="仿宋_GB2312" w:hAnsi="仿宋" w:eastAsia="仿宋_GB2312" w:cs="仿宋"/>
          <w:sz w:val="32"/>
          <w:szCs w:val="32"/>
        </w:rPr>
        <w:t>朱海新</w:t>
      </w:r>
      <w:r>
        <w:rPr>
          <w:rFonts w:ascii="仿宋_GB2312" w:hAnsi="仿宋" w:eastAsia="仿宋_GB2312" w:cs="仿宋"/>
          <w:sz w:val="32"/>
          <w:szCs w:val="32"/>
        </w:rPr>
        <w:t xml:space="preserve">  </w:t>
      </w:r>
      <w:r>
        <w:rPr>
          <w:rFonts w:hint="eastAsia" w:ascii="仿宋_GB2312" w:hAnsi="仿宋" w:eastAsia="仿宋_GB2312" w:cs="仿宋"/>
          <w:sz w:val="32"/>
          <w:szCs w:val="32"/>
        </w:rPr>
        <w:t>副市长、市公安局局长</w:t>
      </w:r>
    </w:p>
    <w:p>
      <w:p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　　　　　　王淑慧　副市长</w:t>
      </w:r>
      <w:r>
        <w:rPr>
          <w:rFonts w:ascii="仿宋_GB2312" w:hAnsi="仿宋" w:eastAsia="仿宋_GB2312" w:cs="仿宋"/>
          <w:sz w:val="32"/>
          <w:szCs w:val="32"/>
        </w:rPr>
        <w:t xml:space="preserve"> </w:t>
      </w:r>
    </w:p>
    <w:p>
      <w:pPr>
        <w:pStyle w:val="2"/>
        <w:spacing w:line="560" w:lineRule="exact"/>
        <w:ind w:firstLine="0" w:firstLineChars="0"/>
        <w:rPr>
          <w:rFonts w:ascii="仿宋_GB2312" w:hAnsi="仿宋" w:eastAsia="仿宋_GB2312" w:cs="仿宋"/>
          <w:lang w:val="en-US"/>
        </w:rPr>
      </w:pPr>
      <w:r>
        <w:rPr>
          <w:rFonts w:ascii="仿宋_GB2312" w:hAnsi="仿宋" w:eastAsia="仿宋_GB2312" w:cs="仿宋"/>
          <w:lang w:val="en-US"/>
        </w:rPr>
        <w:t xml:space="preserve">            </w:t>
      </w:r>
      <w:r>
        <w:rPr>
          <w:rFonts w:hint="eastAsia" w:ascii="仿宋_GB2312" w:hAnsi="仿宋" w:eastAsia="仿宋_GB2312" w:cs="仿宋"/>
          <w:lang w:val="en-US"/>
        </w:rPr>
        <w:t>　　刘彤标</w:t>
      </w:r>
      <w:r>
        <w:rPr>
          <w:rFonts w:ascii="仿宋_GB2312" w:hAnsi="仿宋" w:eastAsia="仿宋_GB2312" w:cs="仿宋"/>
          <w:lang w:val="en-US"/>
        </w:rPr>
        <w:t xml:space="preserve">  </w:t>
      </w:r>
      <w:r>
        <w:rPr>
          <w:rFonts w:hint="eastAsia" w:ascii="仿宋_GB2312" w:hAnsi="仿宋" w:eastAsia="仿宋_GB2312" w:cs="仿宋"/>
          <w:lang w:val="en-US"/>
        </w:rPr>
        <w:t>市总工会主席</w:t>
      </w:r>
    </w:p>
    <w:p>
      <w:pPr>
        <w:spacing w:line="560" w:lineRule="exact"/>
        <w:rPr>
          <w:rFonts w:ascii="仿宋_GB2312" w:hAnsi="仿宋" w:eastAsia="仿宋_GB2312" w:cs="仿宋"/>
          <w:sz w:val="32"/>
          <w:szCs w:val="32"/>
        </w:rPr>
      </w:pPr>
      <w:r>
        <w:rPr>
          <w:rFonts w:hint="eastAsia" w:ascii="仿宋" w:hAnsi="仿宋" w:eastAsia="仿宋" w:cs="仿宋"/>
          <w:sz w:val="32"/>
          <w:szCs w:val="32"/>
        </w:rPr>
        <w:t>　　</w:t>
      </w:r>
      <w:r>
        <w:rPr>
          <w:rFonts w:hint="eastAsia" w:ascii="黑体" w:hAnsi="黑体" w:eastAsia="黑体" w:cs="黑体"/>
          <w:sz w:val="32"/>
          <w:szCs w:val="32"/>
        </w:rPr>
        <w:t>成　　</w:t>
      </w:r>
      <w:r>
        <w:rPr>
          <w:rFonts w:ascii="黑体" w:hAnsi="黑体" w:eastAsia="黑体" w:cs="黑体"/>
          <w:sz w:val="32"/>
          <w:szCs w:val="32"/>
        </w:rPr>
        <w:t xml:space="preserve">  </w:t>
      </w:r>
      <w:r>
        <w:rPr>
          <w:rFonts w:hint="eastAsia" w:ascii="黑体" w:hAnsi="黑体" w:eastAsia="黑体" w:cs="黑体"/>
          <w:sz w:val="32"/>
          <w:szCs w:val="32"/>
        </w:rPr>
        <w:t>员：</w:t>
      </w:r>
      <w:r>
        <w:rPr>
          <w:rFonts w:hint="eastAsia" w:ascii="仿宋_GB2312" w:hAnsi="仿宋" w:eastAsia="仿宋_GB2312" w:cs="仿宋"/>
          <w:sz w:val="32"/>
          <w:szCs w:val="32"/>
        </w:rPr>
        <w:t>李</w:t>
      </w:r>
      <w:r>
        <w:rPr>
          <w:rFonts w:ascii="仿宋_GB2312" w:hAnsi="仿宋" w:eastAsia="仿宋_GB2312" w:cs="仿宋"/>
          <w:sz w:val="32"/>
          <w:szCs w:val="32"/>
        </w:rPr>
        <w:t xml:space="preserve">  </w:t>
      </w:r>
      <w:r>
        <w:rPr>
          <w:rFonts w:hint="eastAsia" w:ascii="仿宋_GB2312" w:hAnsi="仿宋" w:eastAsia="仿宋_GB2312" w:cs="仿宋"/>
          <w:sz w:val="32"/>
          <w:szCs w:val="32"/>
        </w:rPr>
        <w:t>明</w:t>
      </w:r>
      <w:r>
        <w:rPr>
          <w:rFonts w:ascii="仿宋_GB2312" w:hAnsi="仿宋" w:eastAsia="仿宋_GB2312" w:cs="仿宋"/>
          <w:sz w:val="32"/>
          <w:szCs w:val="32"/>
        </w:rPr>
        <w:t xml:space="preserve">  </w:t>
      </w:r>
      <w:r>
        <w:rPr>
          <w:rFonts w:hint="eastAsia" w:ascii="仿宋_GB2312" w:hAnsi="仿宋" w:eastAsia="仿宋_GB2312" w:cs="仿宋"/>
          <w:sz w:val="32"/>
          <w:szCs w:val="32"/>
        </w:rPr>
        <w:t>市委宣传部副部长</w:t>
      </w:r>
      <w:r>
        <w:rPr>
          <w:rFonts w:ascii="仿宋_GB2312" w:hAnsi="仿宋" w:eastAsia="仿宋_GB2312" w:cs="仿宋"/>
          <w:sz w:val="32"/>
          <w:szCs w:val="32"/>
        </w:rPr>
        <w:t xml:space="preserve">   </w:t>
      </w:r>
      <w:r>
        <w:rPr>
          <w:rFonts w:hint="eastAsia" w:ascii="仿宋_GB2312" w:hAnsi="仿宋" w:eastAsia="仿宋_GB2312" w:cs="仿宋"/>
          <w:sz w:val="32"/>
          <w:szCs w:val="32"/>
        </w:rPr>
        <w:t>　　</w:t>
      </w:r>
      <w:r>
        <w:rPr>
          <w:rFonts w:ascii="仿宋_GB2312" w:hAnsi="仿宋" w:eastAsia="仿宋_GB2312" w:cs="仿宋"/>
          <w:sz w:val="32"/>
          <w:szCs w:val="32"/>
        </w:rPr>
        <w:t xml:space="preserve">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冯军辉　市卫健委主任</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李炎宏</w:t>
      </w:r>
      <w:r>
        <w:rPr>
          <w:rFonts w:ascii="仿宋_GB2312" w:hAnsi="仿宋" w:eastAsia="仿宋_GB2312" w:cs="仿宋"/>
          <w:sz w:val="32"/>
          <w:szCs w:val="32"/>
        </w:rPr>
        <w:t xml:space="preserve">  </w:t>
      </w:r>
      <w:r>
        <w:rPr>
          <w:rFonts w:hint="eastAsia" w:ascii="仿宋_GB2312" w:hAnsi="仿宋" w:eastAsia="仿宋_GB2312" w:cs="仿宋"/>
          <w:sz w:val="32"/>
          <w:szCs w:val="32"/>
        </w:rPr>
        <w:t>市财政局局长</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张</w:t>
      </w:r>
      <w:r>
        <w:rPr>
          <w:rFonts w:ascii="仿宋_GB2312" w:hAnsi="仿宋" w:eastAsia="仿宋_GB2312" w:cs="仿宋"/>
          <w:sz w:val="32"/>
          <w:szCs w:val="32"/>
        </w:rPr>
        <w:t xml:space="preserve">  </w:t>
      </w:r>
      <w:r>
        <w:rPr>
          <w:rFonts w:hint="eastAsia" w:ascii="仿宋_GB2312" w:hAnsi="仿宋" w:eastAsia="仿宋_GB2312" w:cs="仿宋"/>
          <w:sz w:val="32"/>
          <w:szCs w:val="32"/>
        </w:rPr>
        <w:t>勇</w:t>
      </w:r>
      <w:r>
        <w:rPr>
          <w:rFonts w:ascii="仿宋_GB2312" w:hAnsi="仿宋" w:eastAsia="仿宋_GB2312" w:cs="仿宋"/>
          <w:sz w:val="32"/>
          <w:szCs w:val="32"/>
        </w:rPr>
        <w:t xml:space="preserve">  </w:t>
      </w:r>
      <w:r>
        <w:rPr>
          <w:rFonts w:hint="eastAsia" w:ascii="仿宋_GB2312" w:hAnsi="仿宋" w:eastAsia="仿宋_GB2312" w:cs="仿宋"/>
          <w:sz w:val="32"/>
          <w:szCs w:val="32"/>
        </w:rPr>
        <w:t>市发展改革委主任</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左莉敏</w:t>
      </w:r>
      <w:r>
        <w:rPr>
          <w:rFonts w:ascii="仿宋_GB2312" w:hAnsi="仿宋" w:eastAsia="仿宋_GB2312" w:cs="仿宋"/>
          <w:sz w:val="32"/>
          <w:szCs w:val="32"/>
        </w:rPr>
        <w:t xml:space="preserve">  </w:t>
      </w:r>
      <w:r>
        <w:rPr>
          <w:rFonts w:hint="eastAsia" w:ascii="仿宋_GB2312" w:hAnsi="仿宋" w:eastAsia="仿宋_GB2312" w:cs="仿宋"/>
          <w:sz w:val="32"/>
          <w:szCs w:val="32"/>
        </w:rPr>
        <w:t>市科工信局局长</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赵舒琪</w:t>
      </w:r>
      <w:r>
        <w:rPr>
          <w:rFonts w:ascii="仿宋_GB2312" w:hAnsi="仿宋" w:eastAsia="仿宋_GB2312" w:cs="仿宋"/>
          <w:sz w:val="32"/>
          <w:szCs w:val="32"/>
        </w:rPr>
        <w:t xml:space="preserve">  </w:t>
      </w:r>
      <w:r>
        <w:rPr>
          <w:rFonts w:hint="eastAsia" w:ascii="仿宋_GB2312" w:hAnsi="仿宋" w:eastAsia="仿宋_GB2312" w:cs="仿宋"/>
          <w:sz w:val="32"/>
          <w:szCs w:val="32"/>
        </w:rPr>
        <w:t>市文广旅体局局长</w:t>
      </w:r>
    </w:p>
    <w:p>
      <w:pPr>
        <w:pStyle w:val="2"/>
        <w:spacing w:line="560" w:lineRule="exact"/>
        <w:ind w:firstLine="0" w:firstLineChars="0"/>
        <w:rPr>
          <w:rFonts w:ascii="仿宋_GB2312" w:hAnsi="仿宋" w:eastAsia="仿宋_GB2312" w:cs="仿宋"/>
          <w:lang w:val="en-US"/>
        </w:rPr>
      </w:pPr>
      <w:r>
        <w:rPr>
          <w:rFonts w:hint="eastAsia" w:ascii="仿宋_GB2312" w:hAnsi="仿宋" w:eastAsia="仿宋_GB2312" w:cs="仿宋"/>
          <w:lang w:val="en-US"/>
        </w:rPr>
        <w:t>　　　　　　　　尚</w:t>
      </w:r>
      <w:r>
        <w:rPr>
          <w:rFonts w:ascii="仿宋_GB2312" w:hAnsi="仿宋" w:eastAsia="仿宋_GB2312" w:cs="仿宋"/>
          <w:lang w:val="en-US"/>
        </w:rPr>
        <w:t xml:space="preserve">  </w:t>
      </w:r>
      <w:r>
        <w:rPr>
          <w:rFonts w:hint="eastAsia" w:ascii="仿宋_GB2312" w:hAnsi="仿宋" w:eastAsia="仿宋_GB2312" w:cs="仿宋"/>
          <w:lang w:val="en-US"/>
        </w:rPr>
        <w:t>忠　市民政局局长</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赵建军　市医保局局长</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刘学敏</w:t>
      </w:r>
      <w:r>
        <w:rPr>
          <w:rFonts w:ascii="仿宋_GB2312" w:hAnsi="仿宋" w:eastAsia="仿宋_GB2312" w:cs="仿宋"/>
          <w:sz w:val="32"/>
          <w:szCs w:val="32"/>
        </w:rPr>
        <w:t xml:space="preserve">  </w:t>
      </w:r>
      <w:r>
        <w:rPr>
          <w:rFonts w:hint="eastAsia" w:ascii="仿宋_GB2312" w:hAnsi="仿宋" w:eastAsia="仿宋_GB2312" w:cs="仿宋"/>
          <w:sz w:val="32"/>
          <w:szCs w:val="32"/>
        </w:rPr>
        <w:t>市教育局局长</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宋雪峰</w:t>
      </w:r>
      <w:r>
        <w:rPr>
          <w:rFonts w:ascii="仿宋_GB2312" w:hAnsi="仿宋" w:eastAsia="仿宋_GB2312" w:cs="仿宋"/>
          <w:sz w:val="32"/>
          <w:szCs w:val="32"/>
        </w:rPr>
        <w:t xml:space="preserve">  </w:t>
      </w:r>
      <w:r>
        <w:rPr>
          <w:rFonts w:hint="eastAsia" w:ascii="仿宋_GB2312" w:hAnsi="仿宋" w:eastAsia="仿宋_GB2312" w:cs="仿宋"/>
          <w:sz w:val="32"/>
          <w:szCs w:val="32"/>
        </w:rPr>
        <w:t>市市场监管局局长</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张宏政　市城管局局长</w:t>
      </w:r>
    </w:p>
    <w:p>
      <w:pPr>
        <w:spacing w:line="560" w:lineRule="exact"/>
        <w:rPr>
          <w:rFonts w:ascii="仿宋_GB2312" w:hAnsi="仿宋" w:eastAsia="仿宋_GB2312" w:cs="仿宋"/>
          <w:sz w:val="32"/>
          <w:szCs w:val="32"/>
        </w:rPr>
      </w:pPr>
      <w:r>
        <w:rPr>
          <w:rFonts w:hint="eastAsia" w:ascii="仿宋" w:hAnsi="仿宋" w:eastAsia="仿宋" w:cs="仿宋"/>
          <w:sz w:val="32"/>
          <w:szCs w:val="32"/>
        </w:rPr>
        <w:t>　　　　　　　　</w:t>
      </w:r>
      <w:r>
        <w:rPr>
          <w:rFonts w:hint="eastAsia" w:ascii="仿宋_GB2312" w:hAnsi="仿宋" w:eastAsia="仿宋_GB2312" w:cs="仿宋"/>
          <w:sz w:val="32"/>
          <w:szCs w:val="32"/>
        </w:rPr>
        <w:t>刘德智　市统计局局长</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李宗元　市住建局局长</w:t>
      </w:r>
      <w:r>
        <w:rPr>
          <w:rFonts w:ascii="仿宋_GB2312" w:hAnsi="仿宋" w:eastAsia="仿宋_GB2312" w:cs="仿宋"/>
          <w:sz w:val="32"/>
          <w:szCs w:val="32"/>
        </w:rPr>
        <w:t xml:space="preserve">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朱郁琦　市交通局局长</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岳明旺</w:t>
      </w:r>
      <w:r>
        <w:rPr>
          <w:rFonts w:ascii="仿宋_GB2312" w:hAnsi="仿宋" w:eastAsia="仿宋_GB2312" w:cs="仿宋"/>
          <w:sz w:val="32"/>
          <w:szCs w:val="32"/>
        </w:rPr>
        <w:t xml:space="preserve">  </w:t>
      </w:r>
      <w:r>
        <w:rPr>
          <w:rFonts w:hint="eastAsia" w:ascii="仿宋_GB2312" w:hAnsi="仿宋" w:eastAsia="仿宋_GB2312" w:cs="仿宋"/>
          <w:sz w:val="32"/>
          <w:szCs w:val="32"/>
        </w:rPr>
        <w:t>市水利局局长</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郑彩霞</w:t>
      </w:r>
      <w:r>
        <w:rPr>
          <w:rFonts w:ascii="仿宋_GB2312" w:hAnsi="仿宋" w:eastAsia="仿宋_GB2312" w:cs="仿宋"/>
          <w:sz w:val="32"/>
          <w:szCs w:val="32"/>
        </w:rPr>
        <w:t xml:space="preserve">  </w:t>
      </w:r>
      <w:r>
        <w:rPr>
          <w:rFonts w:hint="eastAsia" w:ascii="仿宋_GB2312" w:hAnsi="仿宋" w:eastAsia="仿宋_GB2312" w:cs="仿宋"/>
          <w:sz w:val="32"/>
          <w:szCs w:val="32"/>
        </w:rPr>
        <w:t>市林业局局长</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马伟强</w:t>
      </w:r>
      <w:r>
        <w:rPr>
          <w:rFonts w:ascii="仿宋_GB2312" w:hAnsi="仿宋" w:eastAsia="仿宋_GB2312" w:cs="仿宋"/>
          <w:sz w:val="32"/>
          <w:szCs w:val="32"/>
        </w:rPr>
        <w:t xml:space="preserve">  </w:t>
      </w:r>
      <w:r>
        <w:rPr>
          <w:rFonts w:hint="eastAsia" w:ascii="仿宋_GB2312" w:hAnsi="仿宋" w:eastAsia="仿宋_GB2312" w:cs="仿宋"/>
          <w:sz w:val="32"/>
          <w:szCs w:val="32"/>
        </w:rPr>
        <w:t>市农委主任</w:t>
      </w:r>
    </w:p>
    <w:p>
      <w:pPr>
        <w:spacing w:line="560" w:lineRule="exact"/>
        <w:rPr>
          <w:rFonts w:ascii="仿宋_GB2312" w:hAnsi="仿宋" w:eastAsia="仿宋_GB2312" w:cs="仿宋"/>
          <w:sz w:val="32"/>
          <w:szCs w:val="32"/>
        </w:rPr>
      </w:pPr>
      <w:r>
        <w:rPr>
          <w:rFonts w:ascii="仿宋_GB2312" w:hAnsi="仿宋" w:eastAsia="仿宋_GB2312" w:cs="仿宋"/>
          <w:sz w:val="32"/>
          <w:szCs w:val="32"/>
        </w:rPr>
        <w:t xml:space="preserve">              </w:t>
      </w:r>
      <w:r>
        <w:rPr>
          <w:rFonts w:hint="eastAsia" w:ascii="仿宋_GB2312" w:hAnsi="仿宋" w:eastAsia="仿宋_GB2312" w:cs="仿宋"/>
          <w:sz w:val="32"/>
          <w:szCs w:val="32"/>
        </w:rPr>
        <w:t>　陶永伟</w:t>
      </w:r>
      <w:r>
        <w:rPr>
          <w:rFonts w:ascii="仿宋_GB2312" w:hAnsi="仿宋" w:eastAsia="仿宋_GB2312" w:cs="仿宋"/>
          <w:sz w:val="32"/>
          <w:szCs w:val="32"/>
        </w:rPr>
        <w:t xml:space="preserve">  </w:t>
      </w:r>
      <w:r>
        <w:rPr>
          <w:rFonts w:hint="eastAsia" w:ascii="仿宋_GB2312" w:hAnsi="仿宋" w:eastAsia="仿宋_GB2312" w:cs="仿宋"/>
          <w:sz w:val="32"/>
          <w:szCs w:val="32"/>
        </w:rPr>
        <w:t>市生态环境分局局长</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徐晓静</w:t>
      </w:r>
      <w:r>
        <w:rPr>
          <w:rFonts w:ascii="仿宋_GB2312" w:hAnsi="仿宋" w:eastAsia="仿宋_GB2312" w:cs="仿宋"/>
          <w:sz w:val="32"/>
          <w:szCs w:val="32"/>
        </w:rPr>
        <w:t xml:space="preserve">  </w:t>
      </w:r>
      <w:r>
        <w:rPr>
          <w:rFonts w:hint="eastAsia" w:ascii="仿宋_GB2312" w:hAnsi="仿宋" w:eastAsia="仿宋_GB2312" w:cs="仿宋"/>
          <w:sz w:val="32"/>
          <w:szCs w:val="32"/>
        </w:rPr>
        <w:t>市机关事务局局长</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孟晓微</w:t>
      </w:r>
      <w:r>
        <w:rPr>
          <w:rFonts w:ascii="仿宋_GB2312" w:hAnsi="仿宋" w:eastAsia="仿宋_GB2312" w:cs="仿宋"/>
          <w:sz w:val="32"/>
          <w:szCs w:val="32"/>
        </w:rPr>
        <w:t xml:space="preserve">  </w:t>
      </w:r>
      <w:r>
        <w:rPr>
          <w:rFonts w:hint="eastAsia" w:ascii="仿宋_GB2312" w:hAnsi="仿宋" w:eastAsia="仿宋_GB2312" w:cs="仿宋"/>
          <w:sz w:val="32"/>
          <w:szCs w:val="32"/>
        </w:rPr>
        <w:t>市融媒体中心主任</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郑慧阁　市妇联主席</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朱光远</w:t>
      </w:r>
      <w:r>
        <w:rPr>
          <w:rFonts w:ascii="仿宋_GB2312" w:hAnsi="仿宋" w:eastAsia="仿宋_GB2312" w:cs="仿宋"/>
          <w:sz w:val="32"/>
          <w:szCs w:val="32"/>
        </w:rPr>
        <w:t xml:space="preserve">  </w:t>
      </w:r>
      <w:r>
        <w:rPr>
          <w:rFonts w:hint="eastAsia" w:ascii="仿宋_GB2312" w:hAnsi="仿宋" w:eastAsia="仿宋_GB2312" w:cs="仿宋"/>
          <w:sz w:val="32"/>
          <w:szCs w:val="32"/>
        </w:rPr>
        <w:t>团市委书记</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王芳芳</w:t>
      </w:r>
      <w:r>
        <w:rPr>
          <w:rFonts w:ascii="仿宋_GB2312" w:hAnsi="仿宋" w:eastAsia="仿宋_GB2312" w:cs="仿宋"/>
          <w:sz w:val="32"/>
          <w:szCs w:val="32"/>
        </w:rPr>
        <w:t xml:space="preserve">  </w:t>
      </w:r>
      <w:r>
        <w:rPr>
          <w:rFonts w:hint="eastAsia" w:ascii="仿宋_GB2312" w:hAnsi="仿宋" w:eastAsia="仿宋_GB2312" w:cs="仿宋"/>
          <w:sz w:val="32"/>
          <w:szCs w:val="32"/>
        </w:rPr>
        <w:t>市总工会常务副主席</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丁国庆</w:t>
      </w:r>
      <w:r>
        <w:rPr>
          <w:rFonts w:ascii="仿宋_GB2312" w:hAnsi="仿宋" w:eastAsia="仿宋_GB2312" w:cs="仿宋"/>
          <w:sz w:val="32"/>
          <w:szCs w:val="32"/>
        </w:rPr>
        <w:t xml:space="preserve">  </w:t>
      </w:r>
      <w:r>
        <w:rPr>
          <w:rFonts w:hint="eastAsia" w:ascii="仿宋_GB2312" w:hAnsi="仿宋" w:eastAsia="仿宋_GB2312" w:cs="仿宋"/>
          <w:sz w:val="32"/>
          <w:szCs w:val="32"/>
        </w:rPr>
        <w:t>市公安局副局长</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李向华</w:t>
      </w:r>
      <w:r>
        <w:rPr>
          <w:rFonts w:ascii="仿宋_GB2312" w:hAnsi="仿宋" w:eastAsia="仿宋_GB2312" w:cs="仿宋"/>
          <w:sz w:val="32"/>
          <w:szCs w:val="32"/>
        </w:rPr>
        <w:t xml:space="preserve">  </w:t>
      </w:r>
      <w:r>
        <w:rPr>
          <w:rFonts w:hint="eastAsia" w:ascii="仿宋_GB2312" w:hAnsi="仿宋" w:eastAsia="仿宋_GB2312" w:cs="仿宋"/>
          <w:sz w:val="32"/>
          <w:szCs w:val="32"/>
        </w:rPr>
        <w:t>市红十字常务副会长</w:t>
      </w:r>
    </w:p>
    <w:p>
      <w:pPr>
        <w:pStyle w:val="2"/>
        <w:spacing w:line="560" w:lineRule="exact"/>
        <w:ind w:firstLine="0" w:firstLineChars="0"/>
        <w:rPr>
          <w:rFonts w:ascii="仿宋_GB2312" w:hAnsi="仿宋" w:eastAsia="仿宋_GB2312" w:cs="仿宋"/>
          <w:lang w:val="en-US"/>
        </w:rPr>
      </w:pPr>
      <w:r>
        <w:rPr>
          <w:rFonts w:ascii="仿宋_GB2312" w:hAnsi="仿宋" w:eastAsia="仿宋_GB2312" w:cs="仿宋"/>
          <w:lang w:val="en-US"/>
        </w:rPr>
        <w:t xml:space="preserve">            </w:t>
      </w:r>
      <w:r>
        <w:rPr>
          <w:rFonts w:hint="eastAsia" w:ascii="仿宋_GB2312" w:hAnsi="仿宋" w:eastAsia="仿宋_GB2312" w:cs="仿宋"/>
          <w:lang w:val="en-US"/>
        </w:rPr>
        <w:t>　　各乡镇、街道、管委会行政正职</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领导小组下设办公室，办公地点设在市卫健委，冯军辉兼任办公室主任。</w:t>
      </w:r>
    </w:p>
    <w:p>
      <w:pPr>
        <w:spacing w:line="560" w:lineRule="exact"/>
        <w:rPr>
          <w:rFonts w:ascii="仿宋" w:hAnsi="仿宋" w:eastAsia="仿宋" w:cs="仿宋"/>
          <w:sz w:val="32"/>
          <w:szCs w:val="32"/>
        </w:rPr>
      </w:pPr>
      <w:r>
        <w:rPr>
          <w:rFonts w:hint="eastAsia" w:ascii="仿宋" w:hAnsi="仿宋" w:eastAsia="仿宋" w:cs="仿宋"/>
          <w:sz w:val="32"/>
          <w:szCs w:val="32"/>
        </w:rPr>
        <w:t>　　　</w:t>
      </w:r>
    </w:p>
    <w:p>
      <w:pPr>
        <w:spacing w:line="560" w:lineRule="exact"/>
        <w:jc w:val="left"/>
        <w:textAlignment w:val="bottom"/>
        <w:rPr>
          <w:rFonts w:ascii="仿宋" w:hAnsi="仿宋" w:eastAsia="仿宋" w:cs="仿宋"/>
          <w:sz w:val="32"/>
          <w:szCs w:val="32"/>
        </w:rPr>
        <w:sectPr>
          <w:footerReference r:id="rId3" w:type="default"/>
          <w:footerReference r:id="rId4" w:type="even"/>
          <w:pgSz w:w="11906" w:h="16838"/>
          <w:pgMar w:top="1985" w:right="1418" w:bottom="1701" w:left="1418" w:header="851" w:footer="1361" w:gutter="0"/>
          <w:pgNumType w:fmt="numberInDash"/>
          <w:cols w:space="425" w:num="1"/>
          <w:docGrid w:linePitch="312" w:charSpace="0"/>
        </w:sectPr>
      </w:pPr>
    </w:p>
    <w:p>
      <w:pPr>
        <w:pStyle w:val="3"/>
        <w:spacing w:before="1" w:line="560" w:lineRule="exact"/>
        <w:rPr>
          <w:rFonts w:ascii="黑体" w:hAnsi="黑体" w:eastAsia="黑体" w:cs="Arial"/>
          <w:sz w:val="28"/>
          <w:szCs w:val="28"/>
          <w:lang w:val="en-US"/>
        </w:rPr>
      </w:pPr>
      <w:r>
        <w:rPr>
          <w:rFonts w:hint="eastAsia" w:ascii="黑体" w:hAnsi="黑体" w:eastAsia="黑体" w:cs="Arial"/>
          <w:sz w:val="28"/>
          <w:szCs w:val="28"/>
        </w:rPr>
        <w:t>附件</w:t>
      </w:r>
      <w:r>
        <w:rPr>
          <w:rFonts w:ascii="黑体" w:hAnsi="黑体" w:eastAsia="黑体" w:cs="Arial"/>
          <w:sz w:val="28"/>
          <w:szCs w:val="28"/>
        </w:rPr>
        <w:t>2</w:t>
      </w:r>
      <w:r>
        <w:rPr>
          <w:rFonts w:ascii="黑体" w:hAnsi="黑体" w:eastAsia="黑体" w:cs="Arial"/>
          <w:sz w:val="28"/>
          <w:szCs w:val="28"/>
          <w:lang w:val="en-US"/>
        </w:rPr>
        <w:t xml:space="preserve">   </w:t>
      </w:r>
    </w:p>
    <w:p>
      <w:pPr>
        <w:pStyle w:val="3"/>
        <w:spacing w:before="1" w:line="560" w:lineRule="exact"/>
        <w:rPr>
          <w:rFonts w:ascii="方正小标宋简体" w:eastAsia="方正小标宋简体"/>
          <w:sz w:val="44"/>
          <w:szCs w:val="44"/>
          <w:lang w:val="en-US"/>
        </w:rPr>
      </w:pPr>
      <w:r>
        <w:rPr>
          <w:rFonts w:ascii="黑体" w:hAnsi="黑体" w:eastAsia="黑体" w:cs="Arial"/>
          <w:sz w:val="28"/>
          <w:szCs w:val="28"/>
          <w:lang w:val="en-US"/>
        </w:rPr>
        <w:t xml:space="preserve">                </w:t>
      </w:r>
      <w:r>
        <w:rPr>
          <w:rFonts w:ascii="方正小标宋简体" w:hAnsi="黑体" w:eastAsia="方正小标宋简体" w:cs="Arial"/>
          <w:sz w:val="44"/>
          <w:szCs w:val="44"/>
          <w:lang w:val="en-US"/>
        </w:rPr>
        <w:t xml:space="preserve"> </w:t>
      </w:r>
      <w:r>
        <w:rPr>
          <w:rFonts w:hint="eastAsia" w:ascii="方正小标宋简体" w:eastAsia="方正小标宋简体"/>
          <w:sz w:val="44"/>
          <w:szCs w:val="44"/>
        </w:rPr>
        <w:t>国家慢性病综合防控示范区建设指标体系（</w:t>
      </w:r>
      <w:r>
        <w:rPr>
          <w:rFonts w:ascii="方正小标宋简体" w:eastAsia="方正小标宋简体"/>
          <w:sz w:val="44"/>
          <w:szCs w:val="44"/>
        </w:rPr>
        <w:t>2020</w:t>
      </w:r>
      <w:r>
        <w:rPr>
          <w:rFonts w:hint="eastAsia" w:ascii="方正小标宋简体" w:eastAsia="方正小标宋简体"/>
          <w:spacing w:val="-57"/>
          <w:sz w:val="44"/>
          <w:szCs w:val="44"/>
        </w:rPr>
        <w:t>版</w:t>
      </w:r>
      <w:r>
        <w:rPr>
          <w:rFonts w:ascii="方正小标宋简体" w:eastAsia="方正小标宋简体"/>
          <w:spacing w:val="-57"/>
          <w:sz w:val="44"/>
          <w:szCs w:val="44"/>
          <w:lang w:val="en-US"/>
        </w:rPr>
        <w:t xml:space="preserve">  </w:t>
      </w:r>
      <w:r>
        <w:rPr>
          <w:rFonts w:hint="eastAsia" w:ascii="方正小标宋简体" w:eastAsia="方正小标宋简体"/>
          <w:spacing w:val="-57"/>
          <w:sz w:val="44"/>
          <w:szCs w:val="44"/>
          <w:lang w:val="en-US"/>
        </w:rPr>
        <w:t>）</w:t>
      </w:r>
    </w:p>
    <w:tbl>
      <w:tblPr>
        <w:tblStyle w:val="7"/>
        <w:tblW w:w="142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9"/>
        <w:gridCol w:w="1267"/>
        <w:gridCol w:w="3228"/>
        <w:gridCol w:w="6869"/>
        <w:gridCol w:w="72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49" w:type="dxa"/>
            <w:vAlign w:val="center"/>
          </w:tcPr>
          <w:p>
            <w:pPr>
              <w:pStyle w:val="21"/>
              <w:spacing w:before="79"/>
              <w:ind w:left="14"/>
              <w:jc w:val="center"/>
              <w:rPr>
                <w:rFonts w:ascii="黑体" w:eastAsia="黑体"/>
                <w:szCs w:val="21"/>
                <w:lang w:val="en-US"/>
              </w:rPr>
            </w:pPr>
            <w:r>
              <w:rPr>
                <w:rFonts w:hint="eastAsia" w:ascii="黑体" w:eastAsia="黑体"/>
                <w:szCs w:val="21"/>
                <w:lang w:val="en-US"/>
              </w:rPr>
              <w:t>指标</w:t>
            </w:r>
          </w:p>
          <w:p>
            <w:pPr>
              <w:pStyle w:val="21"/>
              <w:spacing w:before="79"/>
              <w:ind w:left="14"/>
              <w:jc w:val="center"/>
              <w:rPr>
                <w:rFonts w:ascii="黑体" w:eastAsia="黑体"/>
                <w:szCs w:val="21"/>
                <w:lang w:val="en-US"/>
              </w:rPr>
            </w:pPr>
            <w:r>
              <w:rPr>
                <w:rFonts w:hint="eastAsia" w:ascii="黑体" w:eastAsia="黑体"/>
                <w:szCs w:val="21"/>
                <w:lang w:val="en-US"/>
              </w:rPr>
              <w:t>分类</w:t>
            </w:r>
          </w:p>
        </w:tc>
        <w:tc>
          <w:tcPr>
            <w:tcW w:w="1267" w:type="dxa"/>
            <w:vAlign w:val="center"/>
          </w:tcPr>
          <w:p>
            <w:pPr>
              <w:pStyle w:val="21"/>
              <w:spacing w:before="79"/>
              <w:ind w:left="14"/>
              <w:jc w:val="center"/>
              <w:rPr>
                <w:rFonts w:ascii="黑体" w:eastAsia="黑体"/>
                <w:szCs w:val="21"/>
                <w:lang w:val="en-US"/>
              </w:rPr>
            </w:pPr>
            <w:r>
              <w:rPr>
                <w:rFonts w:hint="eastAsia" w:ascii="黑体" w:eastAsia="黑体"/>
                <w:szCs w:val="21"/>
                <w:lang w:val="en-US"/>
              </w:rPr>
              <w:t>指标</w:t>
            </w:r>
          </w:p>
          <w:p>
            <w:pPr>
              <w:pStyle w:val="21"/>
              <w:spacing w:before="79"/>
              <w:ind w:left="14"/>
              <w:jc w:val="center"/>
              <w:rPr>
                <w:rFonts w:ascii="黑体" w:eastAsia="黑体"/>
                <w:szCs w:val="21"/>
                <w:lang w:val="en-US"/>
              </w:rPr>
            </w:pPr>
            <w:r>
              <w:rPr>
                <w:rFonts w:hint="eastAsia" w:ascii="黑体" w:eastAsia="黑体"/>
                <w:szCs w:val="21"/>
                <w:lang w:val="en-US"/>
              </w:rPr>
              <w:t>内容</w:t>
            </w:r>
          </w:p>
        </w:tc>
        <w:tc>
          <w:tcPr>
            <w:tcW w:w="3228" w:type="dxa"/>
            <w:vAlign w:val="center"/>
          </w:tcPr>
          <w:p>
            <w:pPr>
              <w:pStyle w:val="21"/>
              <w:spacing w:before="79"/>
              <w:ind w:left="14"/>
              <w:jc w:val="center"/>
              <w:rPr>
                <w:rFonts w:ascii="黑体" w:eastAsia="黑体"/>
                <w:szCs w:val="21"/>
                <w:lang w:val="en-US"/>
              </w:rPr>
            </w:pPr>
            <w:r>
              <w:rPr>
                <w:rFonts w:hint="eastAsia" w:ascii="黑体" w:eastAsia="黑体"/>
                <w:szCs w:val="21"/>
                <w:lang w:val="en-US"/>
              </w:rPr>
              <w:t>指标要求</w:t>
            </w:r>
          </w:p>
        </w:tc>
        <w:tc>
          <w:tcPr>
            <w:tcW w:w="6869" w:type="dxa"/>
            <w:vAlign w:val="center"/>
          </w:tcPr>
          <w:p>
            <w:pPr>
              <w:pStyle w:val="21"/>
              <w:spacing w:before="79"/>
              <w:ind w:left="14"/>
              <w:jc w:val="center"/>
              <w:rPr>
                <w:rFonts w:ascii="黑体" w:eastAsia="黑体"/>
                <w:szCs w:val="21"/>
                <w:lang w:val="en-US"/>
              </w:rPr>
            </w:pPr>
            <w:r>
              <w:rPr>
                <w:rFonts w:hint="eastAsia" w:ascii="黑体" w:eastAsia="黑体"/>
                <w:szCs w:val="21"/>
                <w:lang w:val="en-US"/>
              </w:rPr>
              <w:t>赋分标准</w:t>
            </w:r>
          </w:p>
        </w:tc>
        <w:tc>
          <w:tcPr>
            <w:tcW w:w="720" w:type="dxa"/>
            <w:vAlign w:val="center"/>
          </w:tcPr>
          <w:p>
            <w:pPr>
              <w:pStyle w:val="21"/>
              <w:spacing w:before="79"/>
              <w:ind w:left="14"/>
              <w:jc w:val="center"/>
              <w:rPr>
                <w:rFonts w:ascii="黑体" w:eastAsia="黑体"/>
                <w:szCs w:val="21"/>
                <w:lang w:val="en-US"/>
              </w:rPr>
            </w:pPr>
            <w:r>
              <w:rPr>
                <w:rFonts w:hint="eastAsia" w:ascii="黑体" w:eastAsia="黑体"/>
                <w:szCs w:val="21"/>
                <w:lang w:val="en-US"/>
              </w:rPr>
              <w:t>分值</w:t>
            </w:r>
          </w:p>
        </w:tc>
        <w:tc>
          <w:tcPr>
            <w:tcW w:w="1260" w:type="dxa"/>
            <w:vAlign w:val="center"/>
          </w:tcPr>
          <w:p>
            <w:pPr>
              <w:pStyle w:val="21"/>
              <w:spacing w:before="79"/>
              <w:ind w:left="14"/>
              <w:jc w:val="center"/>
              <w:rPr>
                <w:rFonts w:ascii="黑体" w:eastAsia="黑体"/>
                <w:szCs w:val="21"/>
                <w:lang w:val="en-US"/>
              </w:rPr>
            </w:pPr>
            <w:r>
              <w:rPr>
                <w:rFonts w:hint="eastAsia" w:ascii="黑体" w:eastAsia="黑体"/>
                <w:szCs w:val="21"/>
                <w:lang w:val="en-US"/>
              </w:rPr>
              <w:t>责任</w:t>
            </w:r>
          </w:p>
          <w:p>
            <w:pPr>
              <w:pStyle w:val="21"/>
              <w:spacing w:before="79"/>
              <w:ind w:left="14"/>
              <w:jc w:val="center"/>
              <w:rPr>
                <w:rFonts w:ascii="黑体" w:eastAsia="黑体"/>
                <w:szCs w:val="21"/>
                <w:lang w:val="en-US"/>
              </w:rPr>
            </w:pPr>
            <w:r>
              <w:rPr>
                <w:rFonts w:hint="eastAsia" w:ascii="黑体" w:eastAsia="黑体"/>
                <w:szCs w:val="21"/>
                <w:lang w:val="en-US"/>
              </w:rPr>
              <w:t>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6" w:hRule="atLeast"/>
          <w:jc w:val="center"/>
        </w:trPr>
        <w:tc>
          <w:tcPr>
            <w:tcW w:w="949"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一、政策发展</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60</w:t>
            </w:r>
            <w:r>
              <w:rPr>
                <w:rFonts w:hint="eastAsia" w:ascii="仿宋_GB2312" w:eastAsia="仿宋_GB2312"/>
                <w:szCs w:val="21"/>
                <w:lang w:val="en-US"/>
              </w:rPr>
              <w:t>分）</w:t>
            </w:r>
          </w:p>
        </w:tc>
        <w:tc>
          <w:tcPr>
            <w:tcW w:w="1267"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（一）发挥政府主导作用，建立多部门协作联动机制。（</w:t>
            </w:r>
            <w:r>
              <w:rPr>
                <w:rFonts w:ascii="仿宋_GB2312" w:eastAsia="仿宋_GB2312"/>
                <w:szCs w:val="21"/>
                <w:lang w:val="en-US"/>
              </w:rPr>
              <w:t>18</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1.</w:t>
            </w:r>
            <w:r>
              <w:rPr>
                <w:rFonts w:hint="eastAsia" w:ascii="仿宋_GB2312" w:eastAsia="仿宋_GB2312"/>
                <w:szCs w:val="21"/>
                <w:lang w:val="en-US"/>
              </w:rPr>
              <w:t>辖区政府成立示范区建设领导小组，明确并落实部门职责，建立完善的信息反馈沟通制度。</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）成立辖区示范区建设领导小组，政府主要领导任组长，明确各部门职责</w:t>
            </w:r>
            <w:r>
              <w:rPr>
                <w:rFonts w:ascii="仿宋_GB2312" w:eastAsia="仿宋_GB2312"/>
                <w:szCs w:val="21"/>
                <w:lang w:val="en-US"/>
              </w:rPr>
              <w:t>2</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）设立示范区建设工作办公室，</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3</w:t>
            </w:r>
            <w:r>
              <w:rPr>
                <w:rFonts w:hint="eastAsia" w:ascii="仿宋_GB2312" w:eastAsia="仿宋_GB2312"/>
                <w:szCs w:val="21"/>
                <w:lang w:val="en-US"/>
              </w:rPr>
              <w:t>）每年召开</w:t>
            </w:r>
            <w:r>
              <w:rPr>
                <w:rFonts w:ascii="仿宋_GB2312" w:eastAsia="仿宋_GB2312"/>
                <w:szCs w:val="21"/>
                <w:lang w:val="en-US"/>
              </w:rPr>
              <w:t>1</w:t>
            </w:r>
            <w:r>
              <w:rPr>
                <w:rFonts w:hint="eastAsia" w:ascii="仿宋_GB2312" w:eastAsia="仿宋_GB2312"/>
                <w:szCs w:val="21"/>
                <w:lang w:val="en-US"/>
              </w:rPr>
              <w:t>次及以上领导小组工作会议，</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4</w:t>
            </w:r>
            <w:r>
              <w:rPr>
                <w:rFonts w:hint="eastAsia" w:ascii="仿宋_GB2312" w:eastAsia="仿宋_GB2312"/>
                <w:szCs w:val="21"/>
                <w:lang w:val="en-US"/>
              </w:rPr>
              <w:t>）根据实际工作需要及时召开联络员会议，</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5</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市政府</w:t>
            </w:r>
          </w:p>
          <w:p>
            <w:pPr>
              <w:pStyle w:val="21"/>
              <w:spacing w:before="79"/>
              <w:ind w:left="14"/>
              <w:jc w:val="center"/>
              <w:rPr>
                <w:rFonts w:ascii="仿宋_GB2312" w:eastAsia="仿宋_GB2312"/>
                <w:szCs w:val="21"/>
                <w:lang w:val="en-US"/>
              </w:rPr>
            </w:pPr>
            <w:r>
              <w:rPr>
                <w:rFonts w:hint="eastAsia" w:ascii="仿宋_GB2312" w:eastAsia="仿宋_GB2312"/>
                <w:szCs w:val="21"/>
                <w:lang w:val="en-US"/>
              </w:rPr>
              <w:t>创建办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tcPr>
          <w:p>
            <w:pPr>
              <w:pStyle w:val="21"/>
              <w:spacing w:before="79"/>
              <w:ind w:left="14"/>
              <w:rPr>
                <w:rFonts w:ascii="仿宋_GB2312" w:eastAsia="仿宋_GB2312"/>
                <w:szCs w:val="21"/>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2.</w:t>
            </w:r>
            <w:r>
              <w:rPr>
                <w:rFonts w:hint="eastAsia" w:ascii="仿宋_GB2312" w:eastAsia="仿宋_GB2312"/>
                <w:szCs w:val="21"/>
                <w:lang w:val="en-US"/>
              </w:rPr>
              <w:t>辖区政府将慢性病防控工作纳入当地政府经济社会发展规划。</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）慢性病防控工作纳入政府社会经济发展规划，</w:t>
            </w:r>
            <w:r>
              <w:rPr>
                <w:rFonts w:ascii="仿宋_GB2312" w:eastAsia="仿宋_GB2312"/>
                <w:szCs w:val="21"/>
                <w:lang w:val="en-US"/>
              </w:rPr>
              <w:t>2</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）政府制定慢性病综合防控示范区建设实施方案，</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3</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市政府</w:t>
            </w:r>
          </w:p>
          <w:p>
            <w:pPr>
              <w:pStyle w:val="21"/>
              <w:spacing w:before="79"/>
              <w:ind w:left="14"/>
              <w:jc w:val="center"/>
              <w:rPr>
                <w:rFonts w:ascii="仿宋_GB2312" w:eastAsia="仿宋_GB2312"/>
                <w:szCs w:val="21"/>
                <w:lang w:val="en-US"/>
              </w:rPr>
            </w:pPr>
            <w:r>
              <w:rPr>
                <w:rFonts w:hint="eastAsia" w:ascii="仿宋_GB2312" w:eastAsia="仿宋_GB2312"/>
                <w:szCs w:val="21"/>
                <w:lang w:val="en-US"/>
              </w:rPr>
              <w:t>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8"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tcPr>
          <w:p>
            <w:pPr>
              <w:pStyle w:val="21"/>
              <w:spacing w:before="79"/>
              <w:ind w:left="14"/>
              <w:rPr>
                <w:rFonts w:ascii="仿宋_GB2312" w:eastAsia="仿宋_GB2312"/>
                <w:szCs w:val="21"/>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3.</w:t>
            </w:r>
            <w:r>
              <w:rPr>
                <w:rFonts w:hint="eastAsia" w:ascii="仿宋_GB2312" w:eastAsia="仿宋_GB2312"/>
                <w:szCs w:val="21"/>
                <w:lang w:val="en-US"/>
              </w:rPr>
              <w:t>慢性病防控融入各部门政策规章制度，有烟草控制、降低有害饮酒、减盐、控油、控制体重、全民健身等慢性病危险因素干预、疾病管理相关的政策规章制度。</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抽查</w:t>
            </w:r>
            <w:r>
              <w:rPr>
                <w:rFonts w:ascii="仿宋_GB2312" w:eastAsia="仿宋_GB2312"/>
                <w:szCs w:val="21"/>
                <w:lang w:val="en-US"/>
              </w:rPr>
              <w:t>5</w:t>
            </w:r>
            <w:r>
              <w:rPr>
                <w:rFonts w:hint="eastAsia" w:ascii="仿宋_GB2312" w:eastAsia="仿宋_GB2312"/>
                <w:szCs w:val="21"/>
                <w:lang w:val="en-US"/>
              </w:rPr>
              <w:t>个部门制定落实相关健康政策情况。</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）凡制定并落实，每个部门得</w:t>
            </w:r>
            <w:r>
              <w:rPr>
                <w:rFonts w:ascii="仿宋_GB2312" w:eastAsia="仿宋_GB2312"/>
                <w:szCs w:val="21"/>
                <w:lang w:val="en-US"/>
              </w:rPr>
              <w:t>1</w:t>
            </w:r>
            <w:r>
              <w:rPr>
                <w:rFonts w:hint="eastAsia" w:ascii="仿宋_GB2312" w:eastAsia="仿宋_GB2312"/>
                <w:szCs w:val="21"/>
                <w:lang w:val="en-US"/>
              </w:rPr>
              <w:t>分，满分</w:t>
            </w:r>
            <w:r>
              <w:rPr>
                <w:rFonts w:ascii="仿宋_GB2312" w:eastAsia="仿宋_GB2312"/>
                <w:szCs w:val="21"/>
                <w:lang w:val="en-US"/>
              </w:rPr>
              <w:t>5</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）制定但没有落实，每个部门得</w:t>
            </w:r>
            <w:r>
              <w:rPr>
                <w:rFonts w:ascii="仿宋_GB2312" w:eastAsia="仿宋_GB2312"/>
                <w:szCs w:val="21"/>
                <w:lang w:val="en-US"/>
              </w:rPr>
              <w:t>0.5</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5</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所有机关、</w:t>
            </w:r>
          </w:p>
          <w:p>
            <w:pPr>
              <w:pStyle w:val="21"/>
              <w:spacing w:before="79"/>
              <w:ind w:left="14"/>
              <w:jc w:val="center"/>
              <w:rPr>
                <w:rFonts w:ascii="仿宋_GB2312" w:eastAsia="仿宋_GB2312"/>
                <w:szCs w:val="21"/>
                <w:lang w:val="en-US"/>
              </w:rPr>
            </w:pPr>
            <w:r>
              <w:rPr>
                <w:rFonts w:hint="eastAsia" w:ascii="仿宋_GB2312" w:eastAsia="仿宋_GB2312"/>
                <w:szCs w:val="21"/>
                <w:lang w:val="en-US"/>
              </w:rPr>
              <w:t>企事业单位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1"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tcBorders>
              <w:bottom w:val="single" w:color="auto" w:sz="4" w:space="0"/>
            </w:tcBorders>
          </w:tcPr>
          <w:p>
            <w:pPr>
              <w:pStyle w:val="21"/>
              <w:spacing w:before="79"/>
              <w:ind w:left="14"/>
              <w:rPr>
                <w:rFonts w:ascii="仿宋_GB2312" w:eastAsia="仿宋_GB2312"/>
                <w:szCs w:val="21"/>
                <w:lang w:val="en-US"/>
              </w:rPr>
            </w:pPr>
          </w:p>
        </w:tc>
        <w:tc>
          <w:tcPr>
            <w:tcW w:w="3228" w:type="dxa"/>
            <w:tcBorders>
              <w:left w:val="single" w:color="auto" w:sz="4" w:space="0"/>
            </w:tcBorders>
            <w:vAlign w:val="center"/>
          </w:tcPr>
          <w:p>
            <w:pPr>
              <w:pStyle w:val="21"/>
              <w:spacing w:before="79"/>
              <w:ind w:left="14"/>
              <w:rPr>
                <w:rFonts w:ascii="仿宋_GB2312" w:eastAsia="仿宋_GB2312"/>
                <w:szCs w:val="21"/>
                <w:lang w:val="en-US"/>
              </w:rPr>
            </w:pPr>
            <w:r>
              <w:rPr>
                <w:rFonts w:ascii="仿宋_GB2312" w:eastAsia="仿宋_GB2312"/>
                <w:szCs w:val="21"/>
                <w:lang w:val="en-US"/>
              </w:rPr>
              <w:t>4.</w:t>
            </w:r>
            <w:r>
              <w:rPr>
                <w:rFonts w:hint="eastAsia" w:ascii="仿宋_GB2312" w:eastAsia="仿宋_GB2312"/>
                <w:szCs w:val="21"/>
                <w:lang w:val="en-US"/>
              </w:rPr>
              <w:t>示范区建设领导小组建立工作督导制度，开展示范区建设的多部门联合督导。</w:t>
            </w:r>
          </w:p>
        </w:tc>
        <w:tc>
          <w:tcPr>
            <w:tcW w:w="6869" w:type="dxa"/>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）辖区政府主导每年组织</w:t>
            </w:r>
            <w:r>
              <w:rPr>
                <w:rFonts w:ascii="仿宋_GB2312" w:eastAsia="仿宋_GB2312"/>
                <w:szCs w:val="21"/>
                <w:lang w:val="en-US"/>
              </w:rPr>
              <w:t>2</w:t>
            </w:r>
            <w:r>
              <w:rPr>
                <w:rFonts w:hint="eastAsia" w:ascii="仿宋_GB2312" w:eastAsia="仿宋_GB2312"/>
                <w:szCs w:val="21"/>
                <w:lang w:val="en-US"/>
              </w:rPr>
              <w:t>次由</w:t>
            </w:r>
            <w:r>
              <w:rPr>
                <w:rFonts w:ascii="仿宋_GB2312" w:eastAsia="仿宋_GB2312"/>
                <w:szCs w:val="21"/>
                <w:lang w:val="en-US"/>
              </w:rPr>
              <w:t>5</w:t>
            </w:r>
            <w:r>
              <w:rPr>
                <w:rFonts w:hint="eastAsia" w:ascii="仿宋_GB2312" w:eastAsia="仿宋_GB2312"/>
                <w:szCs w:val="21"/>
                <w:lang w:val="en-US"/>
              </w:rPr>
              <w:t>个及以上部门参与的联合督导，每次得</w:t>
            </w:r>
            <w:r>
              <w:rPr>
                <w:rFonts w:ascii="仿宋_GB2312" w:eastAsia="仿宋_GB2312"/>
                <w:szCs w:val="21"/>
                <w:lang w:val="en-US"/>
              </w:rPr>
              <w:t>1</w:t>
            </w:r>
            <w:r>
              <w:rPr>
                <w:rFonts w:hint="eastAsia" w:ascii="仿宋_GB2312" w:eastAsia="仿宋_GB2312"/>
                <w:szCs w:val="21"/>
                <w:lang w:val="en-US"/>
              </w:rPr>
              <w:t>分；低于</w:t>
            </w:r>
            <w:r>
              <w:rPr>
                <w:rFonts w:ascii="仿宋_GB2312" w:eastAsia="仿宋_GB2312"/>
                <w:szCs w:val="21"/>
                <w:lang w:val="en-US"/>
              </w:rPr>
              <w:t>5</w:t>
            </w:r>
            <w:r>
              <w:rPr>
                <w:rFonts w:hint="eastAsia" w:ascii="仿宋_GB2312" w:eastAsia="仿宋_GB2312"/>
                <w:szCs w:val="21"/>
                <w:lang w:val="en-US"/>
              </w:rPr>
              <w:t>个部门参与得</w:t>
            </w:r>
            <w:r>
              <w:rPr>
                <w:rFonts w:ascii="仿宋_GB2312" w:eastAsia="仿宋_GB2312"/>
                <w:szCs w:val="21"/>
                <w:lang w:val="en-US"/>
              </w:rPr>
              <w:t>0.5</w:t>
            </w:r>
            <w:r>
              <w:rPr>
                <w:rFonts w:hint="eastAsia" w:ascii="仿宋_GB2312" w:eastAsia="仿宋_GB2312"/>
                <w:szCs w:val="21"/>
                <w:lang w:val="en-US"/>
              </w:rPr>
              <w:t>分。对于在政府主导下采用第三方督导的，每年组织</w:t>
            </w:r>
            <w:r>
              <w:rPr>
                <w:rFonts w:ascii="仿宋_GB2312" w:eastAsia="仿宋_GB2312"/>
                <w:szCs w:val="21"/>
                <w:lang w:val="en-US"/>
              </w:rPr>
              <w:t>2</w:t>
            </w:r>
            <w:r>
              <w:rPr>
                <w:rFonts w:hint="eastAsia" w:ascii="仿宋_GB2312" w:eastAsia="仿宋_GB2312"/>
                <w:szCs w:val="21"/>
                <w:lang w:val="en-US"/>
              </w:rPr>
              <w:t>次，每次得</w:t>
            </w:r>
            <w:r>
              <w:rPr>
                <w:rFonts w:ascii="仿宋_GB2312" w:eastAsia="仿宋_GB2312"/>
                <w:szCs w:val="21"/>
                <w:lang w:val="en-US"/>
              </w:rPr>
              <w:t>1</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）督导内容主要包括部门合作建立的信息沟通共享、激励问责、质量控制等</w:t>
            </w:r>
            <w:r>
              <w:rPr>
                <w:rFonts w:ascii="仿宋_GB2312" w:eastAsia="仿宋_GB2312"/>
                <w:szCs w:val="21"/>
                <w:lang w:val="en-US"/>
              </w:rPr>
              <w:t>3</w:t>
            </w:r>
            <w:r>
              <w:rPr>
                <w:rFonts w:hint="eastAsia" w:ascii="仿宋_GB2312" w:eastAsia="仿宋_GB2312"/>
                <w:szCs w:val="21"/>
                <w:lang w:val="en-US"/>
              </w:rPr>
              <w:t>个基本运行机制情况，每个机制分值为</w:t>
            </w:r>
            <w:r>
              <w:rPr>
                <w:rFonts w:ascii="仿宋_GB2312" w:eastAsia="仿宋_GB2312"/>
                <w:szCs w:val="21"/>
                <w:lang w:val="en-US"/>
              </w:rPr>
              <w:t>1</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5</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市政府</w:t>
            </w:r>
          </w:p>
          <w:p>
            <w:pPr>
              <w:pStyle w:val="21"/>
              <w:spacing w:before="79"/>
              <w:ind w:left="14"/>
              <w:jc w:val="center"/>
              <w:rPr>
                <w:rFonts w:ascii="仿宋_GB2312" w:eastAsia="仿宋_GB2312"/>
                <w:szCs w:val="21"/>
                <w:lang w:val="en-US"/>
              </w:rPr>
            </w:pPr>
            <w:r>
              <w:rPr>
                <w:rFonts w:hint="eastAsia" w:ascii="仿宋_GB2312" w:eastAsia="仿宋_GB2312"/>
                <w:szCs w:val="21"/>
                <w:lang w:val="en-US"/>
              </w:rPr>
              <w:t>创建办</w:t>
            </w:r>
          </w:p>
          <w:p>
            <w:pPr>
              <w:pStyle w:val="21"/>
              <w:spacing w:before="79"/>
              <w:ind w:left="14"/>
              <w:rPr>
                <w:rFonts w:ascii="仿宋_GB2312" w:eastAsia="仿宋_GB2312"/>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jc w:val="center"/>
        </w:trPr>
        <w:tc>
          <w:tcPr>
            <w:tcW w:w="949"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一、政策发展</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60</w:t>
            </w:r>
            <w:r>
              <w:rPr>
                <w:rFonts w:hint="eastAsia" w:ascii="仿宋_GB2312" w:eastAsia="仿宋_GB2312"/>
                <w:szCs w:val="21"/>
                <w:lang w:val="en-US"/>
              </w:rPr>
              <w:t>分）</w:t>
            </w:r>
          </w:p>
        </w:tc>
        <w:tc>
          <w:tcPr>
            <w:tcW w:w="1267" w:type="dxa"/>
            <w:vMerge w:val="restart"/>
            <w:tcBorders>
              <w:top w:val="single" w:color="auto" w:sz="4" w:space="0"/>
              <w:left w:val="single" w:color="auto" w:sz="4" w:space="0"/>
              <w:right w:val="single" w:color="auto" w:sz="4" w:space="0"/>
            </w:tcBorders>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（二）保障慢性病防控经费。（</w:t>
            </w:r>
            <w:r>
              <w:rPr>
                <w:rFonts w:ascii="仿宋_GB2312" w:eastAsia="仿宋_GB2312"/>
                <w:szCs w:val="21"/>
                <w:lang w:val="en-US"/>
              </w:rPr>
              <w:t>10</w:t>
            </w:r>
            <w:r>
              <w:rPr>
                <w:rFonts w:hint="eastAsia" w:ascii="仿宋_GB2312" w:eastAsia="仿宋_GB2312"/>
                <w:szCs w:val="21"/>
                <w:lang w:val="en-US"/>
              </w:rPr>
              <w:t>分）</w:t>
            </w:r>
          </w:p>
        </w:tc>
        <w:tc>
          <w:tcPr>
            <w:tcW w:w="3228" w:type="dxa"/>
            <w:tcBorders>
              <w:left w:val="single" w:color="auto" w:sz="4" w:space="0"/>
            </w:tcBorders>
            <w:vAlign w:val="center"/>
          </w:tcPr>
          <w:p>
            <w:pPr>
              <w:pStyle w:val="21"/>
              <w:spacing w:before="79"/>
              <w:ind w:left="14"/>
              <w:rPr>
                <w:rFonts w:ascii="仿宋_GB2312" w:eastAsia="仿宋_GB2312"/>
                <w:szCs w:val="21"/>
                <w:lang w:val="en-US"/>
              </w:rPr>
            </w:pPr>
            <w:r>
              <w:rPr>
                <w:rFonts w:ascii="仿宋_GB2312" w:eastAsia="仿宋_GB2312"/>
                <w:szCs w:val="21"/>
                <w:lang w:val="en-US"/>
              </w:rPr>
              <w:t>1.</w:t>
            </w:r>
            <w:r>
              <w:rPr>
                <w:rFonts w:hint="eastAsia" w:ascii="仿宋_GB2312" w:eastAsia="仿宋_GB2312"/>
                <w:szCs w:val="21"/>
                <w:lang w:val="en-US"/>
              </w:rPr>
              <w:t>慢性病防控工作经费纳入政府年度预算、决算管理。</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）慢性病防控工作经费纳入政府预算、决算管理，各</w:t>
            </w:r>
            <w:r>
              <w:rPr>
                <w:rFonts w:ascii="仿宋_GB2312" w:eastAsia="仿宋_GB2312"/>
                <w:szCs w:val="21"/>
                <w:lang w:val="en-US"/>
              </w:rPr>
              <w:t>2</w:t>
            </w:r>
            <w:r>
              <w:rPr>
                <w:rFonts w:hint="eastAsia" w:ascii="仿宋_GB2312" w:eastAsia="仿宋_GB2312"/>
                <w:szCs w:val="21"/>
                <w:lang w:val="en-US"/>
              </w:rPr>
              <w:t>分，共</w:t>
            </w:r>
            <w:r>
              <w:rPr>
                <w:rFonts w:ascii="仿宋_GB2312" w:eastAsia="仿宋_GB2312"/>
                <w:szCs w:val="21"/>
                <w:lang w:val="en-US"/>
              </w:rPr>
              <w:t>4</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）经费预算执行率</w:t>
            </w:r>
            <w:r>
              <w:rPr>
                <w:rFonts w:ascii="仿宋_GB2312" w:eastAsia="仿宋_GB2312"/>
                <w:szCs w:val="21"/>
                <w:lang w:val="en-US"/>
              </w:rPr>
              <w:t xml:space="preserve"> 100%</w:t>
            </w: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5</w:t>
            </w:r>
          </w:p>
        </w:tc>
        <w:tc>
          <w:tcPr>
            <w:tcW w:w="1260" w:type="dxa"/>
            <w:vMerge w:val="restart"/>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市政府</w:t>
            </w:r>
          </w:p>
          <w:p>
            <w:pPr>
              <w:pStyle w:val="21"/>
              <w:spacing w:before="79"/>
              <w:ind w:left="14"/>
              <w:jc w:val="center"/>
              <w:rPr>
                <w:rFonts w:ascii="仿宋_GB2312" w:eastAsia="仿宋_GB2312"/>
                <w:szCs w:val="21"/>
                <w:lang w:val="en-US"/>
              </w:rPr>
            </w:pPr>
            <w:r>
              <w:rPr>
                <w:rFonts w:hint="eastAsia" w:ascii="仿宋_GB2312" w:eastAsia="仿宋_GB2312"/>
                <w:szCs w:val="21"/>
                <w:lang w:val="en-US"/>
              </w:rPr>
              <w:t>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tcBorders>
              <w:left w:val="single" w:color="auto" w:sz="4" w:space="0"/>
              <w:right w:val="single" w:color="auto" w:sz="4" w:space="0"/>
            </w:tcBorders>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2.</w:t>
            </w:r>
            <w:r>
              <w:rPr>
                <w:rFonts w:hint="eastAsia" w:ascii="仿宋_GB2312" w:eastAsia="仿宋_GB2312"/>
                <w:szCs w:val="21"/>
                <w:lang w:val="en-US"/>
              </w:rPr>
              <w:t>辖区政府按规划、计划提供示范区建设专项工作经费，专款专用。</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）辖区提供示范区建设专项工作经费，</w:t>
            </w:r>
            <w:r>
              <w:rPr>
                <w:rFonts w:ascii="仿宋_GB2312" w:eastAsia="仿宋_GB2312"/>
                <w:szCs w:val="21"/>
                <w:lang w:val="en-US"/>
              </w:rPr>
              <w:t>3</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）慢性病防控经费专项管理，确保专款专用，</w:t>
            </w:r>
            <w:r>
              <w:rPr>
                <w:rFonts w:ascii="仿宋_GB2312" w:eastAsia="仿宋_GB2312"/>
                <w:szCs w:val="21"/>
                <w:lang w:val="en-US"/>
              </w:rPr>
              <w:t>2</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5</w:t>
            </w:r>
          </w:p>
        </w:tc>
        <w:tc>
          <w:tcPr>
            <w:tcW w:w="1260" w:type="dxa"/>
            <w:vMerge w:val="continue"/>
            <w:vAlign w:val="center"/>
          </w:tcPr>
          <w:p>
            <w:pPr>
              <w:pStyle w:val="21"/>
              <w:spacing w:before="79"/>
              <w:ind w:left="14"/>
              <w:rPr>
                <w:rFonts w:ascii="仿宋_GB2312" w:eastAsia="仿宋_GB2312"/>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3"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（三）建立有效的绩效管理及评价机制。</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11</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1.</w:t>
            </w:r>
            <w:r>
              <w:rPr>
                <w:rFonts w:hint="eastAsia" w:ascii="仿宋_GB2312" w:eastAsia="仿宋_GB2312"/>
                <w:szCs w:val="21"/>
                <w:lang w:val="en-US"/>
              </w:rPr>
              <w:t>辖区政府将示范区建设实施方案相关工作纳入各相关部门年度目标管理。</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）辖区政府将示范区建设工作纳入各相关部门年度目标管理，纳入绩效考核目标工作，</w:t>
            </w:r>
            <w:r>
              <w:rPr>
                <w:rFonts w:ascii="仿宋_GB2312" w:eastAsia="仿宋_GB2312"/>
                <w:szCs w:val="21"/>
                <w:lang w:val="en-US"/>
              </w:rPr>
              <w:t>2</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）抽查</w:t>
            </w:r>
            <w:r>
              <w:rPr>
                <w:rFonts w:ascii="仿宋_GB2312" w:eastAsia="仿宋_GB2312"/>
                <w:szCs w:val="21"/>
                <w:lang w:val="en-US"/>
              </w:rPr>
              <w:t>5</w:t>
            </w:r>
            <w:r>
              <w:rPr>
                <w:rFonts w:hint="eastAsia" w:ascii="仿宋_GB2312" w:eastAsia="仿宋_GB2312"/>
                <w:szCs w:val="21"/>
                <w:lang w:val="en-US"/>
              </w:rPr>
              <w:t>个部门执行情况，发现</w:t>
            </w:r>
            <w:r>
              <w:rPr>
                <w:rFonts w:ascii="仿宋_GB2312" w:eastAsia="仿宋_GB2312"/>
                <w:szCs w:val="21"/>
                <w:lang w:val="en-US"/>
              </w:rPr>
              <w:t>2</w:t>
            </w:r>
            <w:r>
              <w:rPr>
                <w:rFonts w:hint="eastAsia" w:ascii="仿宋_GB2312" w:eastAsia="仿宋_GB2312"/>
                <w:szCs w:val="21"/>
                <w:lang w:val="en-US"/>
              </w:rPr>
              <w:t>个及以上部门没有纳入目标管理和绩效考核者不得分。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2</w:t>
            </w:r>
          </w:p>
        </w:tc>
        <w:tc>
          <w:tcPr>
            <w:tcW w:w="1260" w:type="dxa"/>
            <w:vMerge w:val="restart"/>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市政府</w:t>
            </w:r>
          </w:p>
          <w:p>
            <w:pPr>
              <w:pStyle w:val="21"/>
              <w:spacing w:before="79"/>
              <w:ind w:left="14"/>
              <w:jc w:val="center"/>
              <w:rPr>
                <w:rFonts w:ascii="仿宋_GB2312" w:eastAsia="仿宋_GB2312"/>
                <w:szCs w:val="21"/>
                <w:lang w:val="en-US"/>
              </w:rPr>
            </w:pPr>
            <w:r>
              <w:rPr>
                <w:rFonts w:hint="eastAsia" w:ascii="仿宋_GB2312" w:eastAsia="仿宋_GB2312"/>
                <w:szCs w:val="21"/>
                <w:lang w:val="en-US"/>
              </w:rPr>
              <w:t>所有机关、</w:t>
            </w:r>
          </w:p>
          <w:p>
            <w:pPr>
              <w:pStyle w:val="21"/>
              <w:spacing w:before="79"/>
              <w:ind w:left="14"/>
              <w:jc w:val="center"/>
              <w:rPr>
                <w:rFonts w:ascii="仿宋_GB2312" w:eastAsia="仿宋_GB2312"/>
                <w:szCs w:val="21"/>
                <w:lang w:val="en-US"/>
              </w:rPr>
            </w:pPr>
            <w:r>
              <w:rPr>
                <w:rFonts w:hint="eastAsia" w:ascii="仿宋_GB2312" w:eastAsia="仿宋_GB2312"/>
                <w:szCs w:val="21"/>
                <w:lang w:val="en-US"/>
              </w:rPr>
              <w:t>企事业单位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2.</w:t>
            </w:r>
            <w:r>
              <w:rPr>
                <w:rFonts w:hint="eastAsia" w:ascii="仿宋_GB2312" w:eastAsia="仿宋_GB2312"/>
                <w:szCs w:val="21"/>
                <w:lang w:val="en-US"/>
              </w:rPr>
              <w:t>辖区政府将示范区建设实施方案相关工作纳入各部门绩效考核，落实问责制。</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抽取</w:t>
            </w:r>
            <w:r>
              <w:rPr>
                <w:rFonts w:ascii="仿宋_GB2312" w:eastAsia="仿宋_GB2312"/>
                <w:szCs w:val="21"/>
                <w:lang w:val="en-US"/>
              </w:rPr>
              <w:t>5</w:t>
            </w:r>
            <w:r>
              <w:rPr>
                <w:rFonts w:hint="eastAsia" w:ascii="仿宋_GB2312" w:eastAsia="仿宋_GB2312"/>
                <w:szCs w:val="21"/>
                <w:lang w:val="en-US"/>
              </w:rPr>
              <w:t>个相关部门职能科室，询问相关职责知晓与执行情况。部门履职合格的覆盖率达</w:t>
            </w:r>
            <w:r>
              <w:rPr>
                <w:rFonts w:ascii="仿宋_GB2312" w:eastAsia="仿宋_GB2312"/>
                <w:szCs w:val="21"/>
                <w:lang w:val="en-US"/>
              </w:rPr>
              <w:t>100%</w:t>
            </w:r>
            <w:r>
              <w:rPr>
                <w:rFonts w:hint="eastAsia" w:ascii="仿宋_GB2312" w:eastAsia="仿宋_GB2312"/>
                <w:szCs w:val="21"/>
                <w:lang w:val="en-US"/>
              </w:rPr>
              <w:t>，</w:t>
            </w:r>
            <w:r>
              <w:rPr>
                <w:rFonts w:ascii="仿宋_GB2312" w:eastAsia="仿宋_GB2312"/>
                <w:szCs w:val="21"/>
                <w:lang w:val="en-US"/>
              </w:rPr>
              <w:t>5</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5</w:t>
            </w:r>
          </w:p>
        </w:tc>
        <w:tc>
          <w:tcPr>
            <w:tcW w:w="1260" w:type="dxa"/>
            <w:vMerge w:val="continue"/>
            <w:vAlign w:val="center"/>
          </w:tcPr>
          <w:p>
            <w:pPr>
              <w:pStyle w:val="21"/>
              <w:spacing w:before="79"/>
              <w:ind w:left="14"/>
              <w:rPr>
                <w:rFonts w:ascii="仿宋_GB2312" w:eastAsia="仿宋_GB2312"/>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3.</w:t>
            </w:r>
            <w:r>
              <w:rPr>
                <w:rFonts w:hint="eastAsia" w:ascii="仿宋_GB2312" w:eastAsia="仿宋_GB2312"/>
                <w:szCs w:val="21"/>
                <w:lang w:val="en-US"/>
              </w:rPr>
              <w:t>采用多种形式获取群众对辖区慢性病综合防控的参与度和满意度。</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采用多种形式获取群众对辖区慢性病综合防控的参与度和满意度，并形成相关评价报告，</w:t>
            </w:r>
            <w:r>
              <w:rPr>
                <w:rFonts w:ascii="仿宋_GB2312" w:eastAsia="仿宋_GB2312"/>
                <w:szCs w:val="21"/>
                <w:lang w:val="en-US"/>
              </w:rPr>
              <w:t>4</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4</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创建办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4"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（四）辖区政府定期发布慢性病及社会影响因素状况报告。</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21</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1.</w:t>
            </w:r>
            <w:r>
              <w:rPr>
                <w:rFonts w:hint="eastAsia" w:ascii="仿宋_GB2312" w:eastAsia="仿宋_GB2312"/>
                <w:szCs w:val="21"/>
                <w:lang w:val="en-US"/>
              </w:rPr>
              <w:t>辖区政府定期发布慢性病及社会影响因素状况报告。</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）辖区政府定期发布慢性病及社会影响因素状况报告，</w:t>
            </w:r>
            <w:r>
              <w:rPr>
                <w:rFonts w:ascii="仿宋_GB2312" w:eastAsia="仿宋_GB2312"/>
                <w:szCs w:val="21"/>
                <w:lang w:val="en-US"/>
              </w:rPr>
              <w:t>3</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）报告主要结果用于政府工作报告，</w:t>
            </w:r>
            <w:r>
              <w:rPr>
                <w:rFonts w:ascii="仿宋_GB2312" w:eastAsia="仿宋_GB2312"/>
                <w:szCs w:val="21"/>
                <w:lang w:val="en-US"/>
              </w:rPr>
              <w:t>2</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5</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市政府</w:t>
            </w:r>
          </w:p>
          <w:p>
            <w:pPr>
              <w:pStyle w:val="21"/>
              <w:spacing w:before="79"/>
              <w:ind w:left="14"/>
              <w:jc w:val="center"/>
              <w:rPr>
                <w:rFonts w:ascii="仿宋_GB2312" w:eastAsia="仿宋_GB2312"/>
                <w:szCs w:val="21"/>
                <w:lang w:val="en-US"/>
              </w:rPr>
            </w:pPr>
            <w:r>
              <w:rPr>
                <w:rFonts w:hint="eastAsia" w:ascii="仿宋_GB2312" w:eastAsia="仿宋_GB2312"/>
                <w:szCs w:val="21"/>
                <w:lang w:val="en-US"/>
              </w:rPr>
              <w:t>创建办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2.</w:t>
            </w:r>
            <w:r>
              <w:rPr>
                <w:rFonts w:hint="eastAsia" w:ascii="仿宋_GB2312" w:eastAsia="仿宋_GB2312"/>
                <w:szCs w:val="21"/>
                <w:lang w:val="en-US"/>
              </w:rPr>
              <w:t>辖区居民健康状况优于全国平均水平。</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）重大慢性病过早死亡率</w:t>
            </w:r>
            <w:r>
              <w:rPr>
                <w:rFonts w:ascii="仿宋_GB2312" w:eastAsia="仿宋_GB2312"/>
                <w:szCs w:val="21"/>
                <w:lang w:val="en-US"/>
              </w:rPr>
              <w:t>5</w:t>
            </w:r>
            <w:r>
              <w:rPr>
                <w:rFonts w:hint="eastAsia" w:ascii="仿宋_GB2312" w:eastAsia="仿宋_GB2312"/>
                <w:szCs w:val="21"/>
                <w:lang w:val="en-US"/>
              </w:rPr>
              <w:t>年下降≥</w:t>
            </w:r>
            <w:r>
              <w:rPr>
                <w:rFonts w:ascii="仿宋_GB2312" w:eastAsia="仿宋_GB2312"/>
                <w:szCs w:val="21"/>
                <w:lang w:val="en-US"/>
              </w:rPr>
              <w:t>10%</w:t>
            </w:r>
            <w:r>
              <w:rPr>
                <w:rFonts w:hint="eastAsia" w:ascii="仿宋_GB2312" w:eastAsia="仿宋_GB2312"/>
                <w:szCs w:val="21"/>
                <w:lang w:val="en-US"/>
              </w:rPr>
              <w:t>，</w:t>
            </w:r>
            <w:r>
              <w:rPr>
                <w:rFonts w:ascii="仿宋_GB2312" w:eastAsia="仿宋_GB2312"/>
                <w:szCs w:val="21"/>
                <w:lang w:val="en-US"/>
              </w:rPr>
              <w:t>8</w:t>
            </w:r>
            <w:r>
              <w:rPr>
                <w:rFonts w:hint="eastAsia" w:ascii="仿宋_GB2312" w:eastAsia="仿宋_GB2312"/>
                <w:szCs w:val="21"/>
                <w:lang w:val="en-US"/>
              </w:rPr>
              <w:t>分；</w:t>
            </w:r>
            <w:r>
              <w:rPr>
                <w:rFonts w:ascii="仿宋_GB2312" w:eastAsia="仿宋_GB2312"/>
                <w:szCs w:val="21"/>
                <w:lang w:val="en-US"/>
              </w:rPr>
              <w:t>5%-10%</w:t>
            </w:r>
            <w:r>
              <w:rPr>
                <w:rFonts w:hint="eastAsia" w:ascii="仿宋_GB2312" w:eastAsia="仿宋_GB2312"/>
                <w:szCs w:val="21"/>
                <w:lang w:val="en-US"/>
              </w:rPr>
              <w:t>，</w:t>
            </w:r>
            <w:r>
              <w:rPr>
                <w:rFonts w:ascii="仿宋_GB2312" w:eastAsia="仿宋_GB2312"/>
                <w:szCs w:val="21"/>
                <w:lang w:val="en-US"/>
              </w:rPr>
              <w:t>3</w:t>
            </w:r>
            <w:r>
              <w:rPr>
                <w:rFonts w:hint="eastAsia" w:ascii="仿宋_GB2312" w:eastAsia="仿宋_GB2312"/>
                <w:szCs w:val="21"/>
                <w:lang w:val="en-US"/>
              </w:rPr>
              <w:t>分，其余</w:t>
            </w:r>
            <w:r>
              <w:rPr>
                <w:rFonts w:ascii="仿宋_GB2312" w:eastAsia="仿宋_GB2312"/>
                <w:szCs w:val="21"/>
                <w:lang w:val="en-US"/>
              </w:rPr>
              <w:t xml:space="preserve"> 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）心脑血管疾病标化死亡率降至</w:t>
            </w:r>
            <w:r>
              <w:rPr>
                <w:rFonts w:ascii="仿宋_GB2312" w:eastAsia="仿宋_GB2312"/>
                <w:szCs w:val="21"/>
                <w:lang w:val="en-US"/>
              </w:rPr>
              <w:t>205.1/10</w:t>
            </w:r>
            <w:r>
              <w:rPr>
                <w:rFonts w:hint="eastAsia" w:ascii="仿宋_GB2312" w:eastAsia="仿宋_GB2312"/>
                <w:szCs w:val="21"/>
                <w:lang w:val="en-US"/>
              </w:rPr>
              <w:t>万及以下，</w:t>
            </w:r>
            <w:r>
              <w:rPr>
                <w:rFonts w:ascii="仿宋_GB2312" w:eastAsia="仿宋_GB2312"/>
                <w:szCs w:val="21"/>
                <w:lang w:val="en-US"/>
              </w:rPr>
              <w:t>4</w:t>
            </w:r>
            <w:r>
              <w:rPr>
                <w:rFonts w:hint="eastAsia" w:ascii="仿宋_GB2312" w:eastAsia="仿宋_GB2312"/>
                <w:szCs w:val="21"/>
                <w:lang w:val="en-US"/>
              </w:rPr>
              <w:t>分；</w:t>
            </w:r>
            <w:r>
              <w:rPr>
                <w:rFonts w:ascii="仿宋_GB2312" w:eastAsia="仿宋_GB2312"/>
                <w:szCs w:val="21"/>
                <w:lang w:val="en-US"/>
              </w:rPr>
              <w:t>205.1-209.7/10</w:t>
            </w:r>
            <w:r>
              <w:rPr>
                <w:rFonts w:hint="eastAsia" w:ascii="仿宋_GB2312" w:eastAsia="仿宋_GB2312"/>
                <w:szCs w:val="21"/>
                <w:lang w:val="en-US"/>
              </w:rPr>
              <w:t>万，</w:t>
            </w:r>
            <w:r>
              <w:rPr>
                <w:rFonts w:ascii="仿宋_GB2312" w:eastAsia="仿宋_GB2312"/>
                <w:szCs w:val="21"/>
                <w:lang w:val="en-US"/>
              </w:rPr>
              <w:t>2</w:t>
            </w:r>
            <w:r>
              <w:rPr>
                <w:rFonts w:hint="eastAsia" w:ascii="仿宋_GB2312" w:eastAsia="仿宋_GB2312"/>
                <w:szCs w:val="21"/>
                <w:lang w:val="en-US"/>
              </w:rPr>
              <w:t>分；高于</w:t>
            </w:r>
            <w:r>
              <w:rPr>
                <w:rFonts w:ascii="仿宋_GB2312" w:eastAsia="仿宋_GB2312"/>
                <w:szCs w:val="21"/>
                <w:lang w:val="en-US"/>
              </w:rPr>
              <w:t xml:space="preserve"> 209.7/10</w:t>
            </w:r>
            <w:r>
              <w:rPr>
                <w:rFonts w:hint="eastAsia" w:ascii="仿宋_GB2312" w:eastAsia="仿宋_GB2312"/>
                <w:szCs w:val="21"/>
                <w:lang w:val="en-US"/>
              </w:rPr>
              <w:t>万不得分。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3</w:t>
            </w:r>
            <w:r>
              <w:rPr>
                <w:rFonts w:hint="eastAsia" w:ascii="仿宋_GB2312" w:eastAsia="仿宋_GB2312"/>
                <w:szCs w:val="21"/>
                <w:lang w:val="en-US"/>
              </w:rPr>
              <w:t>）</w:t>
            </w:r>
            <w:r>
              <w:rPr>
                <w:rFonts w:ascii="仿宋_GB2312" w:eastAsia="仿宋_GB2312"/>
                <w:szCs w:val="21"/>
                <w:lang w:val="en-US"/>
              </w:rPr>
              <w:t>70</w:t>
            </w:r>
            <w:r>
              <w:rPr>
                <w:rFonts w:hint="eastAsia" w:ascii="仿宋_GB2312" w:eastAsia="仿宋_GB2312"/>
                <w:szCs w:val="21"/>
                <w:lang w:val="en-US"/>
              </w:rPr>
              <w:t>岁及以下人群慢性呼吸系统疾病标化死亡率降至</w:t>
            </w:r>
            <w:r>
              <w:rPr>
                <w:rFonts w:ascii="仿宋_GB2312" w:eastAsia="仿宋_GB2312"/>
                <w:szCs w:val="21"/>
                <w:lang w:val="en-US"/>
              </w:rPr>
              <w:t>9.0/10</w:t>
            </w:r>
            <w:r>
              <w:rPr>
                <w:rFonts w:hint="eastAsia" w:ascii="仿宋_GB2312" w:eastAsia="仿宋_GB2312"/>
                <w:szCs w:val="21"/>
                <w:lang w:val="en-US"/>
              </w:rPr>
              <w:t>万及以下，</w:t>
            </w:r>
            <w:r>
              <w:rPr>
                <w:rFonts w:ascii="仿宋_GB2312" w:eastAsia="仿宋_GB2312"/>
                <w:szCs w:val="21"/>
                <w:lang w:val="en-US"/>
              </w:rPr>
              <w:t>4</w:t>
            </w:r>
            <w:r>
              <w:rPr>
                <w:rFonts w:hint="eastAsia" w:ascii="仿宋_GB2312" w:eastAsia="仿宋_GB2312"/>
                <w:szCs w:val="21"/>
                <w:lang w:val="en-US"/>
              </w:rPr>
              <w:t>分；高于</w:t>
            </w:r>
            <w:r>
              <w:rPr>
                <w:rFonts w:ascii="仿宋_GB2312" w:eastAsia="仿宋_GB2312"/>
                <w:szCs w:val="21"/>
                <w:lang w:val="en-US"/>
              </w:rPr>
              <w:t>9.0/10</w:t>
            </w:r>
            <w:r>
              <w:rPr>
                <w:rFonts w:hint="eastAsia" w:ascii="仿宋_GB2312" w:eastAsia="仿宋_GB2312"/>
                <w:szCs w:val="21"/>
                <w:lang w:val="en-US"/>
              </w:rPr>
              <w:t>万不得分。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16</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p>
            <w:pPr>
              <w:pStyle w:val="21"/>
              <w:spacing w:before="79"/>
              <w:ind w:left="14"/>
              <w:jc w:val="center"/>
              <w:rPr>
                <w:rFonts w:ascii="仿宋_GB2312" w:eastAsia="仿宋_GB2312"/>
                <w:szCs w:val="21"/>
                <w:lang w:val="en-US"/>
              </w:rPr>
            </w:pPr>
            <w:r>
              <w:rPr>
                <w:rFonts w:hint="eastAsia" w:ascii="仿宋_GB2312" w:eastAsia="仿宋_GB2312"/>
                <w:szCs w:val="21"/>
                <w:lang w:val="en-US"/>
              </w:rPr>
              <w:t>各职能部门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49"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二、环境支持</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 xml:space="preserve">35 </w:t>
            </w:r>
            <w:r>
              <w:rPr>
                <w:rFonts w:hint="eastAsia" w:ascii="仿宋_GB2312" w:eastAsia="仿宋_GB2312"/>
                <w:szCs w:val="21"/>
                <w:lang w:val="en-US"/>
              </w:rPr>
              <w:t>分）</w:t>
            </w:r>
          </w:p>
        </w:tc>
        <w:tc>
          <w:tcPr>
            <w:tcW w:w="1267"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（一）构建全方位健康支持性环境。（</w:t>
            </w:r>
            <w:r>
              <w:rPr>
                <w:rFonts w:ascii="仿宋_GB2312" w:eastAsia="仿宋_GB2312"/>
                <w:szCs w:val="21"/>
                <w:lang w:val="en-US"/>
              </w:rPr>
              <w:t>9</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1.</w:t>
            </w:r>
            <w:r>
              <w:rPr>
                <w:rFonts w:hint="eastAsia" w:ascii="仿宋_GB2312" w:eastAsia="仿宋_GB2312"/>
                <w:szCs w:val="21"/>
                <w:lang w:val="en-US"/>
              </w:rPr>
              <w:t>按照国家标准开展健康社区、单位、学校、食堂餐厅</w:t>
            </w:r>
            <w:r>
              <w:rPr>
                <w:rFonts w:ascii="仿宋_GB2312" w:eastAsia="仿宋_GB2312"/>
                <w:szCs w:val="21"/>
                <w:lang w:val="en-US"/>
              </w:rPr>
              <w:t>/</w:t>
            </w:r>
            <w:r>
              <w:rPr>
                <w:rFonts w:hint="eastAsia" w:ascii="仿宋_GB2312" w:eastAsia="仿宋_GB2312"/>
                <w:szCs w:val="21"/>
                <w:lang w:val="en-US"/>
              </w:rPr>
              <w:t>酒店建设，数量逐年增加。</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）健康社区占辖区社区总数≥</w:t>
            </w:r>
            <w:r>
              <w:rPr>
                <w:rFonts w:ascii="仿宋_GB2312" w:eastAsia="仿宋_GB2312"/>
                <w:szCs w:val="21"/>
                <w:lang w:val="en-US"/>
              </w:rPr>
              <w:t>30%</w:t>
            </w: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分；</w:t>
            </w:r>
            <w:r>
              <w:rPr>
                <w:rFonts w:ascii="仿宋_GB2312" w:eastAsia="仿宋_GB2312"/>
                <w:szCs w:val="21"/>
                <w:lang w:val="en-US"/>
              </w:rPr>
              <w:t>30%</w:t>
            </w:r>
            <w:r>
              <w:rPr>
                <w:rFonts w:hint="eastAsia" w:ascii="仿宋_GB2312" w:eastAsia="仿宋_GB2312"/>
                <w:szCs w:val="21"/>
                <w:lang w:val="en-US"/>
              </w:rPr>
              <w:t>以下</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）健康单位、学校、食堂、餐厅</w:t>
            </w:r>
            <w:r>
              <w:rPr>
                <w:rFonts w:ascii="仿宋_GB2312" w:eastAsia="仿宋_GB2312"/>
                <w:szCs w:val="21"/>
                <w:lang w:val="en-US"/>
              </w:rPr>
              <w:t>/</w:t>
            </w:r>
            <w:r>
              <w:rPr>
                <w:rFonts w:hint="eastAsia" w:ascii="仿宋_GB2312" w:eastAsia="仿宋_GB2312"/>
                <w:szCs w:val="21"/>
                <w:lang w:val="en-US"/>
              </w:rPr>
              <w:t>酒店每类不少于</w:t>
            </w:r>
            <w:r>
              <w:rPr>
                <w:rFonts w:ascii="仿宋_GB2312" w:eastAsia="仿宋_GB2312"/>
                <w:szCs w:val="21"/>
                <w:lang w:val="en-US"/>
              </w:rPr>
              <w:t>5</w:t>
            </w:r>
            <w:r>
              <w:rPr>
                <w:rFonts w:hint="eastAsia" w:ascii="仿宋_GB2312" w:eastAsia="仿宋_GB2312"/>
                <w:szCs w:val="21"/>
                <w:lang w:val="en-US"/>
              </w:rPr>
              <w:t>个，每类</w:t>
            </w:r>
            <w:r>
              <w:rPr>
                <w:rFonts w:ascii="仿宋_GB2312" w:eastAsia="仿宋_GB2312"/>
                <w:szCs w:val="21"/>
                <w:lang w:val="en-US"/>
              </w:rPr>
              <w:t>1</w:t>
            </w:r>
            <w:r>
              <w:rPr>
                <w:rFonts w:hint="eastAsia" w:ascii="仿宋_GB2312" w:eastAsia="仿宋_GB2312"/>
                <w:szCs w:val="21"/>
                <w:lang w:val="en-US"/>
              </w:rPr>
              <w:t>分；每少</w:t>
            </w:r>
            <w:r>
              <w:rPr>
                <w:rFonts w:ascii="仿宋_GB2312" w:eastAsia="仿宋_GB2312"/>
                <w:szCs w:val="21"/>
                <w:lang w:val="en-US"/>
              </w:rPr>
              <w:t>1</w:t>
            </w:r>
            <w:r>
              <w:rPr>
                <w:rFonts w:hint="eastAsia" w:ascii="仿宋_GB2312" w:eastAsia="仿宋_GB2312"/>
                <w:szCs w:val="21"/>
                <w:lang w:val="en-US"/>
              </w:rPr>
              <w:t>个扣</w:t>
            </w:r>
            <w:r>
              <w:rPr>
                <w:rFonts w:ascii="仿宋_GB2312" w:eastAsia="仿宋_GB2312"/>
                <w:szCs w:val="21"/>
                <w:lang w:val="en-US"/>
              </w:rPr>
              <w:t>0.5</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3</w:t>
            </w:r>
            <w:r>
              <w:rPr>
                <w:rFonts w:hint="eastAsia" w:ascii="仿宋_GB2312" w:eastAsia="仿宋_GB2312"/>
                <w:szCs w:val="21"/>
                <w:lang w:val="en-US"/>
              </w:rPr>
              <w:t>）现场调研发现每类中有</w:t>
            </w:r>
            <w:r>
              <w:rPr>
                <w:rFonts w:ascii="仿宋_GB2312" w:eastAsia="仿宋_GB2312"/>
                <w:szCs w:val="21"/>
                <w:lang w:val="en-US"/>
              </w:rPr>
              <w:t>1</w:t>
            </w:r>
            <w:r>
              <w:rPr>
                <w:rFonts w:hint="eastAsia" w:ascii="仿宋_GB2312" w:eastAsia="仿宋_GB2312"/>
                <w:szCs w:val="21"/>
                <w:lang w:val="en-US"/>
              </w:rPr>
              <w:t>个不达标，该类不得分。</w:t>
            </w:r>
          </w:p>
          <w:p>
            <w:pPr>
              <w:pStyle w:val="21"/>
              <w:spacing w:before="79"/>
              <w:ind w:left="14"/>
              <w:rPr>
                <w:rFonts w:ascii="仿宋_GB2312" w:eastAsia="仿宋_GB2312"/>
                <w:szCs w:val="21"/>
                <w:lang w:val="en-US"/>
              </w:rPr>
            </w:pPr>
            <w:r>
              <w:rPr>
                <w:rFonts w:hint="eastAsia" w:ascii="仿宋_GB2312" w:eastAsia="仿宋_GB2312"/>
                <w:szCs w:val="21"/>
                <w:lang w:val="en-US"/>
              </w:rPr>
              <w:t>复审：健康社区覆盖率逐年增加</w:t>
            </w:r>
            <w:r>
              <w:rPr>
                <w:rFonts w:ascii="仿宋_GB2312" w:eastAsia="仿宋_GB2312"/>
                <w:szCs w:val="21"/>
                <w:lang w:val="en-US"/>
              </w:rPr>
              <w:t>5%</w:t>
            </w:r>
            <w:r>
              <w:rPr>
                <w:rFonts w:hint="eastAsia" w:ascii="仿宋_GB2312" w:eastAsia="仿宋_GB2312"/>
                <w:szCs w:val="21"/>
                <w:lang w:val="en-US"/>
              </w:rPr>
              <w:t>或达到</w:t>
            </w:r>
            <w:r>
              <w:rPr>
                <w:rFonts w:ascii="仿宋_GB2312" w:eastAsia="仿宋_GB2312"/>
                <w:szCs w:val="21"/>
                <w:lang w:val="en-US"/>
              </w:rPr>
              <w:t>40%</w:t>
            </w:r>
            <w:r>
              <w:rPr>
                <w:rFonts w:hint="eastAsia" w:ascii="仿宋_GB2312" w:eastAsia="仿宋_GB2312"/>
                <w:szCs w:val="21"/>
                <w:lang w:val="en-US"/>
              </w:rPr>
              <w:t>及以上，</w:t>
            </w:r>
            <w:r>
              <w:rPr>
                <w:rFonts w:ascii="仿宋_GB2312" w:eastAsia="仿宋_GB2312"/>
                <w:szCs w:val="21"/>
                <w:lang w:val="en-US"/>
              </w:rPr>
              <w:t>1</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健康单位、学校、食堂、餐厅</w:t>
            </w:r>
            <w:r>
              <w:rPr>
                <w:rFonts w:ascii="仿宋_GB2312" w:eastAsia="仿宋_GB2312"/>
                <w:szCs w:val="21"/>
                <w:lang w:val="en-US"/>
              </w:rPr>
              <w:t>/</w:t>
            </w:r>
            <w:r>
              <w:rPr>
                <w:rFonts w:hint="eastAsia" w:ascii="仿宋_GB2312" w:eastAsia="仿宋_GB2312"/>
                <w:szCs w:val="21"/>
                <w:lang w:val="en-US"/>
              </w:rPr>
              <w:t>酒店每年增加</w:t>
            </w:r>
            <w:r>
              <w:rPr>
                <w:rFonts w:ascii="仿宋_GB2312" w:eastAsia="仿宋_GB2312"/>
                <w:szCs w:val="21"/>
                <w:lang w:val="en-US"/>
              </w:rPr>
              <w:t>2</w:t>
            </w:r>
            <w:r>
              <w:rPr>
                <w:rFonts w:hint="eastAsia" w:ascii="仿宋_GB2312" w:eastAsia="仿宋_GB2312"/>
                <w:szCs w:val="21"/>
                <w:lang w:val="en-US"/>
              </w:rPr>
              <w:t>个或每类达到</w:t>
            </w:r>
            <w:r>
              <w:rPr>
                <w:rFonts w:ascii="仿宋_GB2312" w:eastAsia="仿宋_GB2312"/>
                <w:szCs w:val="21"/>
                <w:lang w:val="en-US"/>
              </w:rPr>
              <w:t>10</w:t>
            </w:r>
            <w:r>
              <w:rPr>
                <w:rFonts w:hint="eastAsia" w:ascii="仿宋_GB2312" w:eastAsia="仿宋_GB2312"/>
                <w:szCs w:val="21"/>
                <w:lang w:val="en-US"/>
              </w:rPr>
              <w:t>个及以上，每类</w:t>
            </w:r>
            <w:r>
              <w:rPr>
                <w:rFonts w:ascii="仿宋_GB2312" w:eastAsia="仿宋_GB2312"/>
                <w:szCs w:val="21"/>
                <w:lang w:val="en-US"/>
              </w:rPr>
              <w:t>1</w:t>
            </w:r>
            <w:r>
              <w:rPr>
                <w:rFonts w:hint="eastAsia" w:ascii="仿宋_GB2312" w:eastAsia="仿宋_GB2312"/>
                <w:szCs w:val="21"/>
                <w:lang w:val="en-US"/>
              </w:rPr>
              <w:t>分，每年增加未达标者该类不得分。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5</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p>
            <w:pPr>
              <w:pStyle w:val="21"/>
              <w:spacing w:before="79"/>
              <w:ind w:left="14"/>
              <w:jc w:val="center"/>
              <w:rPr>
                <w:rFonts w:ascii="仿宋_GB2312" w:eastAsia="仿宋_GB2312"/>
                <w:szCs w:val="21"/>
                <w:lang w:val="en-US"/>
              </w:rPr>
            </w:pPr>
            <w:r>
              <w:rPr>
                <w:rFonts w:hint="eastAsia" w:ascii="仿宋_GB2312" w:eastAsia="仿宋_GB2312"/>
                <w:szCs w:val="21"/>
                <w:lang w:val="en-US"/>
              </w:rPr>
              <w:t>各成员单位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2" w:hRule="atLeast"/>
          <w:jc w:val="center"/>
        </w:trPr>
        <w:tc>
          <w:tcPr>
            <w:tcW w:w="949" w:type="dxa"/>
            <w:vMerge w:val="continue"/>
            <w:vAlign w:val="center"/>
          </w:tcPr>
          <w:p>
            <w:pPr>
              <w:pStyle w:val="21"/>
              <w:spacing w:before="79"/>
              <w:ind w:left="14"/>
              <w:rPr>
                <w:rFonts w:ascii="仿宋_GB2312" w:eastAsia="仿宋_GB2312"/>
                <w:szCs w:val="21"/>
                <w:lang w:val="en-US"/>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2.</w:t>
            </w:r>
            <w:r>
              <w:rPr>
                <w:rFonts w:hint="eastAsia" w:ascii="仿宋_GB2312" w:eastAsia="仿宋_GB2312"/>
                <w:szCs w:val="21"/>
                <w:lang w:val="en-US"/>
              </w:rPr>
              <w:t>按照国家标准开展健康主题公园、步道、小屋、健康街区等健康支持性环境建设，数量逐年增加。</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）健康主题公园、步道、小屋、街区、超市、社团等，每建设</w:t>
            </w:r>
            <w:r>
              <w:rPr>
                <w:rFonts w:ascii="仿宋_GB2312" w:eastAsia="仿宋_GB2312"/>
                <w:szCs w:val="21"/>
                <w:lang w:val="en-US"/>
              </w:rPr>
              <w:t>1</w:t>
            </w:r>
            <w:r>
              <w:rPr>
                <w:rFonts w:hint="eastAsia" w:ascii="仿宋_GB2312" w:eastAsia="仿宋_GB2312"/>
                <w:szCs w:val="21"/>
                <w:lang w:val="en-US"/>
              </w:rPr>
              <w:t>类，</w:t>
            </w:r>
            <w:r>
              <w:rPr>
                <w:rFonts w:ascii="仿宋_GB2312" w:eastAsia="仿宋_GB2312"/>
                <w:szCs w:val="21"/>
                <w:lang w:val="en-US"/>
              </w:rPr>
              <w:t>1</w:t>
            </w:r>
            <w:r>
              <w:rPr>
                <w:rFonts w:hint="eastAsia" w:ascii="仿宋_GB2312" w:eastAsia="仿宋_GB2312"/>
                <w:szCs w:val="21"/>
                <w:lang w:val="en-US"/>
              </w:rPr>
              <w:t>分。满分</w:t>
            </w:r>
            <w:r>
              <w:rPr>
                <w:rFonts w:ascii="仿宋_GB2312" w:eastAsia="仿宋_GB2312"/>
                <w:szCs w:val="21"/>
                <w:lang w:val="en-US"/>
              </w:rPr>
              <w:t>4</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）现场评估发现</w:t>
            </w:r>
            <w:r>
              <w:rPr>
                <w:rFonts w:ascii="仿宋_GB2312" w:eastAsia="仿宋_GB2312"/>
                <w:szCs w:val="21"/>
                <w:lang w:val="en-US"/>
              </w:rPr>
              <w:t>1</w:t>
            </w:r>
            <w:r>
              <w:rPr>
                <w:rFonts w:hint="eastAsia" w:ascii="仿宋_GB2312" w:eastAsia="仿宋_GB2312"/>
                <w:szCs w:val="21"/>
                <w:lang w:val="en-US"/>
              </w:rPr>
              <w:t>个不达标，该类不得分。</w:t>
            </w:r>
          </w:p>
          <w:p>
            <w:pPr>
              <w:pStyle w:val="21"/>
              <w:spacing w:before="79"/>
              <w:ind w:left="14"/>
              <w:rPr>
                <w:rFonts w:ascii="仿宋_GB2312" w:eastAsia="仿宋_GB2312"/>
                <w:szCs w:val="21"/>
                <w:lang w:val="en-US"/>
              </w:rPr>
            </w:pPr>
            <w:r>
              <w:rPr>
                <w:rFonts w:hint="eastAsia" w:ascii="仿宋_GB2312" w:eastAsia="仿宋_GB2312"/>
                <w:szCs w:val="21"/>
                <w:lang w:val="en-US"/>
              </w:rPr>
              <w:t>复审：健康步道、小屋等数量逐年有增加或每类建设数量达到</w:t>
            </w:r>
            <w:r>
              <w:rPr>
                <w:rFonts w:ascii="仿宋_GB2312" w:eastAsia="仿宋_GB2312"/>
                <w:szCs w:val="21"/>
                <w:lang w:val="en-US"/>
              </w:rPr>
              <w:t>3</w:t>
            </w:r>
            <w:r>
              <w:rPr>
                <w:rFonts w:hint="eastAsia" w:ascii="仿宋_GB2312" w:eastAsia="仿宋_GB2312"/>
                <w:szCs w:val="21"/>
                <w:lang w:val="en-US"/>
              </w:rPr>
              <w:t>个，每类</w:t>
            </w:r>
            <w:r>
              <w:rPr>
                <w:rFonts w:ascii="仿宋_GB2312" w:eastAsia="仿宋_GB2312"/>
                <w:szCs w:val="21"/>
                <w:lang w:val="en-US"/>
              </w:rPr>
              <w:t>2</w:t>
            </w:r>
            <w:r>
              <w:rPr>
                <w:rFonts w:hint="eastAsia" w:ascii="仿宋_GB2312" w:eastAsia="仿宋_GB2312"/>
                <w:szCs w:val="21"/>
                <w:lang w:val="en-US"/>
              </w:rPr>
              <w:t>分，满分</w:t>
            </w:r>
            <w:r>
              <w:rPr>
                <w:rFonts w:ascii="仿宋_GB2312" w:eastAsia="仿宋_GB2312"/>
                <w:szCs w:val="21"/>
                <w:lang w:val="en-US"/>
              </w:rPr>
              <w:t>4</w:t>
            </w:r>
            <w:r>
              <w:rPr>
                <w:rFonts w:hint="eastAsia" w:ascii="仿宋_GB2312" w:eastAsia="仿宋_GB2312"/>
                <w:szCs w:val="21"/>
                <w:lang w:val="en-US"/>
              </w:rPr>
              <w:t>分，未达标者该类不得分。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4</w:t>
            </w:r>
          </w:p>
        </w:tc>
        <w:tc>
          <w:tcPr>
            <w:tcW w:w="1260"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卫健委</w:t>
            </w:r>
          </w:p>
          <w:p>
            <w:pPr>
              <w:pStyle w:val="21"/>
              <w:spacing w:before="79"/>
              <w:ind w:left="14"/>
              <w:rPr>
                <w:rFonts w:ascii="仿宋_GB2312" w:eastAsia="仿宋_GB2312"/>
                <w:szCs w:val="21"/>
                <w:lang w:val="en-US"/>
              </w:rPr>
            </w:pPr>
            <w:r>
              <w:rPr>
                <w:rFonts w:hint="eastAsia" w:ascii="仿宋_GB2312" w:eastAsia="仿宋_GB2312"/>
                <w:szCs w:val="21"/>
                <w:lang w:val="en-US"/>
              </w:rPr>
              <w:t>市水利局、市城管局、各乡镇、街道办、管委会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jc w:val="center"/>
        </w:trPr>
        <w:tc>
          <w:tcPr>
            <w:tcW w:w="949" w:type="dxa"/>
            <w:vMerge w:val="continue"/>
            <w:vAlign w:val="center"/>
          </w:tcPr>
          <w:p>
            <w:pPr>
              <w:pStyle w:val="21"/>
              <w:spacing w:before="79"/>
              <w:ind w:left="14"/>
              <w:rPr>
                <w:rFonts w:ascii="仿宋_GB2312" w:eastAsia="仿宋_GB2312"/>
                <w:szCs w:val="21"/>
                <w:lang w:val="en-US"/>
              </w:rPr>
            </w:pPr>
          </w:p>
        </w:tc>
        <w:tc>
          <w:tcPr>
            <w:tcW w:w="1267"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（二）为群众提供方便、可及的自助式健康检测服务。（</w:t>
            </w:r>
            <w:r>
              <w:rPr>
                <w:rFonts w:ascii="仿宋_GB2312" w:eastAsia="仿宋_GB2312"/>
                <w:szCs w:val="21"/>
                <w:lang w:val="en-US"/>
              </w:rPr>
              <w:t>4</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1.</w:t>
            </w:r>
            <w:r>
              <w:rPr>
                <w:rFonts w:hint="eastAsia" w:ascii="仿宋_GB2312" w:eastAsia="仿宋_GB2312"/>
                <w:szCs w:val="21"/>
                <w:lang w:val="en-US"/>
              </w:rPr>
              <w:t>社区卫生服务中心和乡镇卫生院设置自助式健康检测点，并提供个体化健康指导。</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）设置健康检测点的机构覆盖率达</w:t>
            </w:r>
            <w:r>
              <w:rPr>
                <w:rFonts w:ascii="仿宋_GB2312" w:eastAsia="仿宋_GB2312"/>
                <w:szCs w:val="21"/>
                <w:lang w:val="en-US"/>
              </w:rPr>
              <w:t xml:space="preserve"> 100%</w:t>
            </w: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分；其他</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）检测结果进入健康档案，实现信息利用。</w:t>
            </w:r>
            <w:r>
              <w:rPr>
                <w:rFonts w:ascii="仿宋_GB2312" w:eastAsia="仿宋_GB2312"/>
                <w:szCs w:val="21"/>
                <w:lang w:val="en-US"/>
              </w:rPr>
              <w:t>1</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3</w:t>
            </w:r>
            <w:r>
              <w:rPr>
                <w:rFonts w:hint="eastAsia" w:ascii="仿宋_GB2312" w:eastAsia="仿宋_GB2312"/>
                <w:szCs w:val="21"/>
                <w:lang w:val="en-US"/>
              </w:rPr>
              <w:t>）提供个性化健康指导的机构比例≥</w:t>
            </w:r>
            <w:r>
              <w:rPr>
                <w:rFonts w:ascii="仿宋_GB2312" w:eastAsia="仿宋_GB2312"/>
                <w:szCs w:val="21"/>
                <w:lang w:val="en-US"/>
              </w:rPr>
              <w:t>50%</w:t>
            </w: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30-50%</w:t>
            </w: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分；</w:t>
            </w:r>
            <w:r>
              <w:rPr>
                <w:rFonts w:ascii="仿宋_GB2312" w:eastAsia="仿宋_GB2312"/>
                <w:szCs w:val="21"/>
                <w:lang w:val="en-US"/>
              </w:rPr>
              <w:t>30%</w:t>
            </w:r>
            <w:r>
              <w:rPr>
                <w:rFonts w:hint="eastAsia" w:ascii="仿宋_GB2312" w:eastAsia="仿宋_GB2312"/>
                <w:szCs w:val="21"/>
                <w:lang w:val="en-US"/>
              </w:rPr>
              <w:t>以下</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4</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949" w:type="dxa"/>
            <w:vMerge w:val="continue"/>
            <w:vAlign w:val="center"/>
          </w:tcPr>
          <w:p>
            <w:pPr>
              <w:pStyle w:val="21"/>
              <w:spacing w:before="79"/>
              <w:ind w:left="14"/>
              <w:rPr>
                <w:rFonts w:ascii="仿宋_GB2312" w:eastAsia="仿宋_GB2312"/>
                <w:szCs w:val="21"/>
                <w:lang w:val="en-US"/>
              </w:rPr>
            </w:pPr>
          </w:p>
        </w:tc>
        <w:tc>
          <w:tcPr>
            <w:tcW w:w="1267"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（三）开展全民健身运动，普及公共体育设施，提高经常参加体育锻炼人口比例。（</w:t>
            </w:r>
            <w:r>
              <w:rPr>
                <w:rFonts w:ascii="仿宋_GB2312" w:eastAsia="仿宋_GB2312"/>
                <w:szCs w:val="21"/>
                <w:lang w:val="en-US"/>
              </w:rPr>
              <w:t>11</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1.</w:t>
            </w:r>
            <w:r>
              <w:rPr>
                <w:rFonts w:hint="eastAsia" w:ascii="仿宋_GB2312" w:eastAsia="仿宋_GB2312"/>
                <w:szCs w:val="21"/>
                <w:lang w:val="en-US"/>
              </w:rPr>
              <w:t>社区建设</w:t>
            </w:r>
            <w:r>
              <w:rPr>
                <w:rFonts w:ascii="仿宋_GB2312" w:eastAsia="仿宋_GB2312"/>
                <w:szCs w:val="21"/>
                <w:lang w:val="en-US"/>
              </w:rPr>
              <w:t xml:space="preserve"> 15 </w:t>
            </w:r>
            <w:r>
              <w:rPr>
                <w:rFonts w:hint="eastAsia" w:ascii="仿宋_GB2312" w:eastAsia="仿宋_GB2312"/>
                <w:szCs w:val="21"/>
                <w:lang w:val="en-US"/>
              </w:rPr>
              <w:t>分钟健身圈，居民健身设施完好，提高人均体育场地面积。</w:t>
            </w:r>
          </w:p>
        </w:tc>
        <w:tc>
          <w:tcPr>
            <w:tcW w:w="6869" w:type="dxa"/>
            <w:vAlign w:val="center"/>
          </w:tcPr>
          <w:p>
            <w:pPr>
              <w:pStyle w:val="21"/>
              <w:spacing w:before="79"/>
              <w:ind w:left="14"/>
              <w:rPr>
                <w:rFonts w:ascii="仿宋_GB2312" w:eastAsia="仿宋_GB2312"/>
                <w:spacing w:val="-6"/>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）社</w:t>
            </w:r>
            <w:r>
              <w:rPr>
                <w:rFonts w:hint="eastAsia" w:ascii="仿宋_GB2312" w:eastAsia="仿宋_GB2312"/>
                <w:spacing w:val="-6"/>
                <w:szCs w:val="21"/>
                <w:lang w:val="en-US"/>
              </w:rPr>
              <w:t>区</w:t>
            </w:r>
            <w:r>
              <w:rPr>
                <w:rFonts w:ascii="仿宋_GB2312" w:eastAsia="仿宋_GB2312"/>
                <w:spacing w:val="-6"/>
                <w:szCs w:val="21"/>
                <w:lang w:val="en-US"/>
              </w:rPr>
              <w:t>15</w:t>
            </w:r>
            <w:r>
              <w:rPr>
                <w:rFonts w:hint="eastAsia" w:ascii="仿宋_GB2312" w:eastAsia="仿宋_GB2312"/>
                <w:spacing w:val="-6"/>
                <w:szCs w:val="21"/>
                <w:lang w:val="en-US"/>
              </w:rPr>
              <w:t>分钟健身圈</w:t>
            </w:r>
            <w:r>
              <w:rPr>
                <w:rFonts w:ascii="仿宋_GB2312" w:eastAsia="仿宋_GB2312"/>
                <w:spacing w:val="-6"/>
                <w:szCs w:val="21"/>
                <w:lang w:val="en-US"/>
              </w:rPr>
              <w:t>/</w:t>
            </w:r>
            <w:r>
              <w:rPr>
                <w:rFonts w:hint="eastAsia" w:ascii="仿宋_GB2312" w:eastAsia="仿宋_GB2312"/>
                <w:spacing w:val="-6"/>
                <w:szCs w:val="21"/>
                <w:lang w:val="en-US"/>
              </w:rPr>
              <w:t>农村行政村体育设施覆盖率达到</w:t>
            </w:r>
            <w:r>
              <w:rPr>
                <w:rFonts w:ascii="仿宋_GB2312" w:eastAsia="仿宋_GB2312"/>
                <w:spacing w:val="-6"/>
                <w:szCs w:val="21"/>
                <w:lang w:val="en-US"/>
              </w:rPr>
              <w:t>100%</w:t>
            </w:r>
            <w:r>
              <w:rPr>
                <w:rFonts w:hint="eastAsia" w:ascii="仿宋_GB2312" w:eastAsia="仿宋_GB2312"/>
                <w:spacing w:val="-6"/>
                <w:szCs w:val="21"/>
                <w:lang w:val="en-US"/>
              </w:rPr>
              <w:t>，</w:t>
            </w:r>
            <w:r>
              <w:rPr>
                <w:rFonts w:ascii="仿宋_GB2312" w:eastAsia="仿宋_GB2312"/>
                <w:spacing w:val="-6"/>
                <w:szCs w:val="21"/>
                <w:lang w:val="en-US"/>
              </w:rPr>
              <w:t>1</w:t>
            </w:r>
            <w:r>
              <w:rPr>
                <w:rFonts w:hint="eastAsia" w:ascii="仿宋_GB2312" w:eastAsia="仿宋_GB2312"/>
                <w:spacing w:val="-6"/>
                <w:szCs w:val="21"/>
                <w:lang w:val="en-US"/>
              </w:rPr>
              <w:t>分；其余</w:t>
            </w:r>
            <w:r>
              <w:rPr>
                <w:rFonts w:ascii="仿宋_GB2312" w:eastAsia="仿宋_GB2312"/>
                <w:spacing w:val="-6"/>
                <w:szCs w:val="21"/>
                <w:lang w:val="en-US"/>
              </w:rPr>
              <w:t>0</w:t>
            </w:r>
            <w:r>
              <w:rPr>
                <w:rFonts w:hint="eastAsia" w:ascii="仿宋_GB2312" w:eastAsia="仿宋_GB2312"/>
                <w:spacing w:val="-6"/>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）设备完好</w:t>
            </w:r>
            <w:r>
              <w:rPr>
                <w:rFonts w:ascii="仿宋_GB2312" w:eastAsia="仿宋_GB2312"/>
                <w:szCs w:val="21"/>
                <w:lang w:val="en-US"/>
              </w:rPr>
              <w:t>100%</w:t>
            </w:r>
            <w:r>
              <w:rPr>
                <w:rFonts w:hint="eastAsia" w:ascii="仿宋_GB2312" w:eastAsia="仿宋_GB2312"/>
                <w:szCs w:val="21"/>
                <w:lang w:val="en-US"/>
              </w:rPr>
              <w:t>，</w:t>
            </w:r>
            <w:r>
              <w:rPr>
                <w:rFonts w:ascii="仿宋_GB2312" w:eastAsia="仿宋_GB2312"/>
                <w:szCs w:val="21"/>
                <w:lang w:val="en-US"/>
              </w:rPr>
              <w:t>0.5</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3</w:t>
            </w:r>
            <w:r>
              <w:rPr>
                <w:rFonts w:hint="eastAsia" w:ascii="仿宋_GB2312" w:eastAsia="仿宋_GB2312"/>
                <w:szCs w:val="21"/>
                <w:lang w:val="en-US"/>
              </w:rPr>
              <w:t>）人均体育场地面积达</w:t>
            </w:r>
            <w:r>
              <w:rPr>
                <w:rFonts w:ascii="仿宋_GB2312" w:eastAsia="仿宋_GB2312"/>
                <w:szCs w:val="21"/>
                <w:lang w:val="en-US"/>
              </w:rPr>
              <w:t>2</w:t>
            </w:r>
            <w:r>
              <w:rPr>
                <w:rFonts w:hint="eastAsia" w:ascii="仿宋_GB2312" w:eastAsia="仿宋_GB2312"/>
                <w:szCs w:val="21"/>
                <w:lang w:val="en-US"/>
              </w:rPr>
              <w:t>平米，</w:t>
            </w:r>
            <w:r>
              <w:rPr>
                <w:rFonts w:ascii="仿宋_GB2312" w:eastAsia="仿宋_GB2312"/>
                <w:szCs w:val="21"/>
                <w:lang w:val="en-US"/>
              </w:rPr>
              <w:t>0.5</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2</w:t>
            </w:r>
          </w:p>
        </w:tc>
        <w:tc>
          <w:tcPr>
            <w:tcW w:w="1260"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文广旅体局</w:t>
            </w:r>
          </w:p>
          <w:p>
            <w:pPr>
              <w:pStyle w:val="21"/>
              <w:spacing w:before="79"/>
              <w:ind w:left="14"/>
              <w:rPr>
                <w:rFonts w:ascii="仿宋_GB2312" w:eastAsia="仿宋_GB2312"/>
                <w:szCs w:val="21"/>
                <w:lang w:val="en-US"/>
              </w:rPr>
            </w:pPr>
            <w:r>
              <w:rPr>
                <w:rFonts w:hint="eastAsia" w:ascii="仿宋_GB2312" w:eastAsia="仿宋_GB2312"/>
                <w:szCs w:val="21"/>
                <w:lang w:val="en-US"/>
              </w:rPr>
              <w:t>教育局</w:t>
            </w:r>
          </w:p>
          <w:p>
            <w:pPr>
              <w:pStyle w:val="21"/>
              <w:spacing w:before="79"/>
              <w:ind w:left="14"/>
              <w:rPr>
                <w:rFonts w:ascii="仿宋_GB2312" w:eastAsia="仿宋_GB2312"/>
                <w:szCs w:val="21"/>
                <w:lang w:val="en-US"/>
              </w:rPr>
            </w:pPr>
            <w:r>
              <w:rPr>
                <w:rFonts w:hint="eastAsia" w:ascii="仿宋_GB2312" w:eastAsia="仿宋_GB2312"/>
                <w:szCs w:val="21"/>
                <w:lang w:val="en-US"/>
              </w:rPr>
              <w:t>规划局</w:t>
            </w:r>
          </w:p>
          <w:p>
            <w:pPr>
              <w:pStyle w:val="21"/>
              <w:spacing w:before="79"/>
              <w:ind w:left="14"/>
              <w:rPr>
                <w:rFonts w:ascii="仿宋_GB2312" w:eastAsia="仿宋_GB2312"/>
                <w:szCs w:val="21"/>
                <w:lang w:val="en-US"/>
              </w:rPr>
            </w:pPr>
            <w:r>
              <w:rPr>
                <w:rFonts w:hint="eastAsia" w:ascii="仿宋_GB2312" w:eastAsia="仿宋_GB2312"/>
                <w:szCs w:val="21"/>
                <w:lang w:val="en-US"/>
              </w:rPr>
              <w:t>各乡镇、街道办、管委会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3"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tcPr>
          <w:p>
            <w:pPr>
              <w:pStyle w:val="21"/>
              <w:spacing w:before="79"/>
              <w:ind w:left="14"/>
              <w:rPr>
                <w:rFonts w:ascii="仿宋_GB2312" w:eastAsia="仿宋_GB2312"/>
                <w:szCs w:val="21"/>
                <w:lang w:val="en-US"/>
              </w:rPr>
            </w:pPr>
          </w:p>
        </w:tc>
        <w:tc>
          <w:tcPr>
            <w:tcW w:w="3228" w:type="dxa"/>
          </w:tcPr>
          <w:p>
            <w:pPr>
              <w:pStyle w:val="21"/>
              <w:spacing w:before="79"/>
              <w:ind w:left="14"/>
              <w:rPr>
                <w:rFonts w:ascii="仿宋_GB2312" w:eastAsia="仿宋_GB2312"/>
                <w:szCs w:val="21"/>
                <w:lang w:val="en-US"/>
              </w:rPr>
            </w:pPr>
            <w:r>
              <w:rPr>
                <w:rFonts w:ascii="仿宋_GB2312" w:eastAsia="仿宋_GB2312"/>
                <w:szCs w:val="21"/>
                <w:lang w:val="en-US"/>
              </w:rPr>
              <w:t>2.</w:t>
            </w:r>
            <w:r>
              <w:rPr>
                <w:rFonts w:hint="eastAsia" w:ascii="仿宋_GB2312" w:eastAsia="仿宋_GB2312"/>
                <w:szCs w:val="21"/>
                <w:lang w:val="en-US"/>
              </w:rPr>
              <w:t>公共体育场地、有条件的企事业和学校的体育场地免费或低收费向社区居民开放。</w:t>
            </w:r>
          </w:p>
        </w:tc>
        <w:tc>
          <w:tcPr>
            <w:tcW w:w="6869" w:type="dxa"/>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）公共体育场地、设施免费或低收费开放比例</w:t>
            </w:r>
            <w:r>
              <w:rPr>
                <w:rFonts w:ascii="仿宋_GB2312" w:eastAsia="仿宋_GB2312"/>
                <w:szCs w:val="21"/>
                <w:lang w:val="en-US"/>
              </w:rPr>
              <w:t>100%</w:t>
            </w: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）有条件的单位免费或低收费开放比例≥</w:t>
            </w:r>
            <w:r>
              <w:rPr>
                <w:rFonts w:ascii="仿宋_GB2312" w:eastAsia="仿宋_GB2312"/>
                <w:szCs w:val="21"/>
                <w:lang w:val="en-US"/>
              </w:rPr>
              <w:t>30%</w:t>
            </w: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分；</w:t>
            </w:r>
            <w:r>
              <w:rPr>
                <w:rFonts w:ascii="仿宋_GB2312" w:eastAsia="仿宋_GB2312"/>
                <w:szCs w:val="21"/>
                <w:lang w:val="en-US"/>
              </w:rPr>
              <w:t>30%</w:t>
            </w:r>
            <w:r>
              <w:rPr>
                <w:rFonts w:hint="eastAsia" w:ascii="仿宋_GB2312" w:eastAsia="仿宋_GB2312"/>
                <w:szCs w:val="21"/>
                <w:lang w:val="en-US"/>
              </w:rPr>
              <w:t>以下</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2</w:t>
            </w:r>
          </w:p>
        </w:tc>
        <w:tc>
          <w:tcPr>
            <w:tcW w:w="1260" w:type="dxa"/>
            <w:vMerge w:val="continue"/>
            <w:vAlign w:val="center"/>
          </w:tcPr>
          <w:p>
            <w:pPr>
              <w:pStyle w:val="21"/>
              <w:spacing w:before="79"/>
              <w:ind w:left="14"/>
              <w:rPr>
                <w:rFonts w:ascii="仿宋_GB2312" w:eastAsia="仿宋_GB2312"/>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tcPr>
          <w:p>
            <w:pPr>
              <w:pStyle w:val="21"/>
              <w:spacing w:before="79"/>
              <w:ind w:left="14"/>
              <w:rPr>
                <w:rFonts w:ascii="仿宋_GB2312" w:eastAsia="仿宋_GB2312"/>
                <w:szCs w:val="21"/>
                <w:lang w:val="en-US"/>
              </w:rPr>
            </w:pPr>
          </w:p>
        </w:tc>
        <w:tc>
          <w:tcPr>
            <w:tcW w:w="3228" w:type="dxa"/>
          </w:tcPr>
          <w:p>
            <w:pPr>
              <w:pStyle w:val="21"/>
              <w:spacing w:before="79"/>
              <w:ind w:left="14"/>
              <w:rPr>
                <w:rFonts w:ascii="仿宋_GB2312" w:eastAsia="仿宋_GB2312"/>
                <w:szCs w:val="21"/>
                <w:lang w:val="en-US"/>
              </w:rPr>
            </w:pPr>
            <w:r>
              <w:rPr>
                <w:rFonts w:ascii="仿宋_GB2312" w:eastAsia="仿宋_GB2312"/>
                <w:szCs w:val="21"/>
                <w:lang w:val="en-US"/>
              </w:rPr>
              <w:t>3.</w:t>
            </w:r>
            <w:r>
              <w:rPr>
                <w:rFonts w:hint="eastAsia" w:ascii="仿宋_GB2312" w:eastAsia="仿宋_GB2312"/>
                <w:szCs w:val="21"/>
                <w:lang w:val="en-US"/>
              </w:rPr>
              <w:t>机关、企事业单位开展工间健身活动，组织符合单位特点的健身和竞赛活动。</w:t>
            </w:r>
          </w:p>
        </w:tc>
        <w:tc>
          <w:tcPr>
            <w:tcW w:w="6869" w:type="dxa"/>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）开展工间健身活动单位覆盖率≥</w:t>
            </w:r>
            <w:r>
              <w:rPr>
                <w:rFonts w:ascii="仿宋_GB2312" w:eastAsia="仿宋_GB2312"/>
                <w:szCs w:val="21"/>
                <w:lang w:val="en-US"/>
              </w:rPr>
              <w:t>80%</w:t>
            </w: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分；</w:t>
            </w:r>
            <w:r>
              <w:rPr>
                <w:rFonts w:ascii="仿宋_GB2312" w:eastAsia="仿宋_GB2312"/>
                <w:szCs w:val="21"/>
                <w:lang w:val="en-US"/>
              </w:rPr>
              <w:t>80%</w:t>
            </w:r>
            <w:r>
              <w:rPr>
                <w:rFonts w:hint="eastAsia" w:ascii="仿宋_GB2312" w:eastAsia="仿宋_GB2312"/>
                <w:szCs w:val="21"/>
                <w:lang w:val="en-US"/>
              </w:rPr>
              <w:t>以下</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）每年机关、企事业单位组织开展至少</w:t>
            </w:r>
            <w:r>
              <w:rPr>
                <w:rFonts w:ascii="仿宋_GB2312" w:eastAsia="仿宋_GB2312"/>
                <w:szCs w:val="21"/>
                <w:lang w:val="en-US"/>
              </w:rPr>
              <w:t>1</w:t>
            </w:r>
            <w:r>
              <w:rPr>
                <w:rFonts w:hint="eastAsia" w:ascii="仿宋_GB2312" w:eastAsia="仿宋_GB2312"/>
                <w:szCs w:val="21"/>
                <w:lang w:val="en-US"/>
              </w:rPr>
              <w:t>次健身竞赛活动，</w:t>
            </w:r>
            <w:r>
              <w:rPr>
                <w:rFonts w:ascii="仿宋_GB2312" w:eastAsia="仿宋_GB2312"/>
                <w:szCs w:val="21"/>
                <w:lang w:val="en-US"/>
              </w:rPr>
              <w:t>1</w:t>
            </w:r>
            <w:r>
              <w:rPr>
                <w:rFonts w:hint="eastAsia" w:ascii="仿宋_GB2312" w:eastAsia="仿宋_GB2312"/>
                <w:szCs w:val="21"/>
                <w:lang w:val="en-US"/>
              </w:rPr>
              <w:t>分；未开展不得分。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2</w:t>
            </w:r>
          </w:p>
        </w:tc>
        <w:tc>
          <w:tcPr>
            <w:tcW w:w="1260"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所有机关、企事业单位、总工会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jc w:val="center"/>
        </w:trPr>
        <w:tc>
          <w:tcPr>
            <w:tcW w:w="949"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二、环境支持</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 xml:space="preserve">35 </w:t>
            </w:r>
            <w:r>
              <w:rPr>
                <w:rFonts w:hint="eastAsia" w:ascii="仿宋_GB2312" w:eastAsia="仿宋_GB2312"/>
                <w:szCs w:val="21"/>
                <w:lang w:val="en-US"/>
              </w:rPr>
              <w:t>分）</w:t>
            </w:r>
          </w:p>
        </w:tc>
        <w:tc>
          <w:tcPr>
            <w:tcW w:w="1267" w:type="dxa"/>
            <w:vMerge w:val="restart"/>
          </w:tcPr>
          <w:p>
            <w:pPr>
              <w:pStyle w:val="21"/>
              <w:spacing w:before="79"/>
              <w:ind w:left="14"/>
              <w:rPr>
                <w:rFonts w:ascii="仿宋_GB2312" w:eastAsia="仿宋_GB2312"/>
                <w:szCs w:val="21"/>
                <w:lang w:val="en-US"/>
              </w:rPr>
            </w:pPr>
            <w:r>
              <w:rPr>
                <w:rFonts w:hint="eastAsia" w:ascii="仿宋_GB2312" w:eastAsia="仿宋_GB2312"/>
                <w:szCs w:val="21"/>
                <w:lang w:val="en-US"/>
              </w:rPr>
              <w:t>（三）开展全民健身运动，普及公共体育设施，提高经常参加体育锻炼人口比例。（</w:t>
            </w:r>
            <w:r>
              <w:rPr>
                <w:rFonts w:ascii="仿宋_GB2312" w:eastAsia="仿宋_GB2312"/>
                <w:szCs w:val="21"/>
                <w:lang w:val="en-US"/>
              </w:rPr>
              <w:t>11</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4.</w:t>
            </w:r>
            <w:r>
              <w:rPr>
                <w:rFonts w:hint="eastAsia" w:ascii="仿宋_GB2312" w:eastAsia="仿宋_GB2312"/>
                <w:szCs w:val="21"/>
                <w:lang w:val="en-US"/>
              </w:rPr>
              <w:t>实施青少年体育活动促进计划。</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）中小学生每天校内体育活动时间不少于</w:t>
            </w:r>
            <w:r>
              <w:rPr>
                <w:rFonts w:ascii="仿宋_GB2312" w:eastAsia="仿宋_GB2312"/>
                <w:szCs w:val="21"/>
                <w:lang w:val="en-US"/>
              </w:rPr>
              <w:t>1</w:t>
            </w:r>
            <w:r>
              <w:rPr>
                <w:rFonts w:hint="eastAsia" w:ascii="仿宋_GB2312" w:eastAsia="仿宋_GB2312"/>
                <w:szCs w:val="21"/>
                <w:lang w:val="en-US"/>
              </w:rPr>
              <w:t>小时的比例达到</w:t>
            </w:r>
            <w:r>
              <w:rPr>
                <w:rFonts w:ascii="仿宋_GB2312" w:eastAsia="仿宋_GB2312"/>
                <w:szCs w:val="21"/>
                <w:lang w:val="en-US"/>
              </w:rPr>
              <w:t xml:space="preserve"> 100%</w:t>
            </w: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分</w:t>
            </w:r>
            <w:r>
              <w:rPr>
                <w:rFonts w:ascii="仿宋_GB2312" w:eastAsia="仿宋_GB2312"/>
                <w:szCs w:val="21"/>
                <w:lang w:val="en-US"/>
              </w:rPr>
              <w:t>100%</w:t>
            </w:r>
            <w:r>
              <w:rPr>
                <w:rFonts w:hint="eastAsia" w:ascii="仿宋_GB2312" w:eastAsia="仿宋_GB2312"/>
                <w:szCs w:val="21"/>
                <w:lang w:val="en-US"/>
              </w:rPr>
              <w:t>以下，</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）国家学生体质健康标准达标优良率（</w:t>
            </w:r>
            <w:r>
              <w:rPr>
                <w:rFonts w:ascii="仿宋_GB2312" w:eastAsia="仿宋_GB2312"/>
                <w:szCs w:val="21"/>
                <w:lang w:val="en-US"/>
              </w:rPr>
              <w:t>%</w:t>
            </w:r>
            <w:r>
              <w:rPr>
                <w:rFonts w:hint="eastAsia" w:ascii="仿宋_GB2312" w:eastAsia="仿宋_GB2312"/>
                <w:szCs w:val="21"/>
                <w:lang w:val="en-US"/>
              </w:rPr>
              <w:t>）≥</w:t>
            </w:r>
            <w:r>
              <w:rPr>
                <w:rFonts w:ascii="仿宋_GB2312" w:eastAsia="仿宋_GB2312"/>
                <w:szCs w:val="21"/>
                <w:lang w:val="en-US"/>
              </w:rPr>
              <w:t>50%</w:t>
            </w: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分；</w:t>
            </w:r>
            <w:r>
              <w:rPr>
                <w:rFonts w:ascii="仿宋_GB2312" w:eastAsia="仿宋_GB2312"/>
                <w:szCs w:val="21"/>
                <w:lang w:val="en-US"/>
              </w:rPr>
              <w:t>50%</w:t>
            </w:r>
            <w:r>
              <w:rPr>
                <w:rFonts w:hint="eastAsia" w:ascii="仿宋_GB2312" w:eastAsia="仿宋_GB2312"/>
                <w:szCs w:val="21"/>
                <w:lang w:val="en-US"/>
              </w:rPr>
              <w:t>以下，</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2</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5.</w:t>
            </w:r>
            <w:r>
              <w:rPr>
                <w:rFonts w:hint="eastAsia" w:ascii="仿宋_GB2312" w:eastAsia="仿宋_GB2312"/>
                <w:szCs w:val="21"/>
                <w:lang w:val="en-US"/>
              </w:rPr>
              <w:t>提高经常参加体育锻炼人口比例。</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经常参加体育锻炼人口比例≥</w:t>
            </w:r>
            <w:r>
              <w:rPr>
                <w:rFonts w:ascii="仿宋_GB2312" w:eastAsia="仿宋_GB2312"/>
                <w:szCs w:val="21"/>
                <w:lang w:val="en-US"/>
              </w:rPr>
              <w:t>40%,3</w:t>
            </w:r>
            <w:r>
              <w:rPr>
                <w:rFonts w:hint="eastAsia" w:ascii="仿宋_GB2312" w:eastAsia="仿宋_GB2312"/>
                <w:szCs w:val="21"/>
                <w:lang w:val="en-US"/>
              </w:rPr>
              <w:t>分；</w:t>
            </w:r>
            <w:r>
              <w:rPr>
                <w:rFonts w:ascii="仿宋_GB2312" w:eastAsia="仿宋_GB2312"/>
                <w:szCs w:val="21"/>
                <w:lang w:val="en-US"/>
              </w:rPr>
              <w:t>35-40%</w:t>
            </w: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35%</w:t>
            </w:r>
            <w:r>
              <w:rPr>
                <w:rFonts w:hint="eastAsia" w:ascii="仿宋_GB2312" w:eastAsia="仿宋_GB2312"/>
                <w:szCs w:val="21"/>
                <w:lang w:val="en-US"/>
              </w:rPr>
              <w:t>以下</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3</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文广旅体局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（四）开展烟草控制，降低人群吸烟率。</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11</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1.</w:t>
            </w:r>
            <w:r>
              <w:rPr>
                <w:rFonts w:hint="eastAsia" w:ascii="仿宋_GB2312" w:eastAsia="仿宋_GB2312"/>
                <w:szCs w:val="21"/>
                <w:lang w:val="en-US"/>
              </w:rPr>
              <w:t>辖区室内公共场所、工作场所和公共交通工具设置禁止吸烟警语和标识。</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辖区</w:t>
            </w:r>
            <w:r>
              <w:rPr>
                <w:rFonts w:ascii="仿宋_GB2312" w:eastAsia="仿宋_GB2312"/>
                <w:szCs w:val="21"/>
                <w:lang w:val="en-US"/>
              </w:rPr>
              <w:t>100%</w:t>
            </w:r>
            <w:r>
              <w:rPr>
                <w:rFonts w:hint="eastAsia" w:ascii="仿宋_GB2312" w:eastAsia="仿宋_GB2312"/>
                <w:szCs w:val="21"/>
                <w:lang w:val="en-US"/>
              </w:rPr>
              <w:t>的室内公共场所、工作场所和公共交通工具全面禁烟，设置禁止吸烟警语和标识，</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95-100%,1</w:t>
            </w:r>
            <w:r>
              <w:rPr>
                <w:rFonts w:hint="eastAsia" w:ascii="仿宋_GB2312" w:eastAsia="仿宋_GB2312"/>
                <w:szCs w:val="21"/>
                <w:lang w:val="en-US"/>
              </w:rPr>
              <w:t>分；</w:t>
            </w:r>
            <w:r>
              <w:rPr>
                <w:rFonts w:ascii="仿宋_GB2312" w:eastAsia="仿宋_GB2312"/>
                <w:szCs w:val="21"/>
                <w:lang w:val="en-US"/>
              </w:rPr>
              <w:t>95%</w:t>
            </w:r>
            <w:r>
              <w:rPr>
                <w:rFonts w:hint="eastAsia" w:ascii="仿宋_GB2312" w:eastAsia="仿宋_GB2312"/>
                <w:szCs w:val="21"/>
                <w:lang w:val="en-US"/>
              </w:rPr>
              <w:t>以下</w:t>
            </w:r>
            <w:r>
              <w:rPr>
                <w:rFonts w:ascii="仿宋_GB2312" w:eastAsia="仿宋_GB2312"/>
                <w:szCs w:val="21"/>
                <w:lang w:val="en-US"/>
              </w:rPr>
              <w:t>0</w:t>
            </w:r>
            <w:r>
              <w:rPr>
                <w:rFonts w:hint="eastAsia" w:ascii="仿宋_GB2312" w:eastAsia="仿宋_GB2312"/>
                <w:szCs w:val="21"/>
                <w:lang w:val="en-US"/>
              </w:rPr>
              <w:t>分。抽查发现</w:t>
            </w:r>
            <w:r>
              <w:rPr>
                <w:rFonts w:ascii="仿宋_GB2312" w:eastAsia="仿宋_GB2312"/>
                <w:szCs w:val="21"/>
                <w:lang w:val="en-US"/>
              </w:rPr>
              <w:t>1</w:t>
            </w:r>
            <w:r>
              <w:rPr>
                <w:rFonts w:hint="eastAsia" w:ascii="仿宋_GB2312" w:eastAsia="仿宋_GB2312"/>
                <w:szCs w:val="21"/>
                <w:lang w:val="en-US"/>
              </w:rPr>
              <w:t>个单位不合格，不得分。</w:t>
            </w:r>
          </w:p>
        </w:tc>
        <w:tc>
          <w:tcPr>
            <w:tcW w:w="720" w:type="dxa"/>
            <w:tcBorders>
              <w:bottom w:val="single" w:color="auto" w:sz="4" w:space="0"/>
            </w:tcBorders>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2</w:t>
            </w:r>
          </w:p>
        </w:tc>
        <w:tc>
          <w:tcPr>
            <w:tcW w:w="1260" w:type="dxa"/>
            <w:tcBorders>
              <w:bottom w:val="single" w:color="auto" w:sz="4" w:space="0"/>
            </w:tcBorders>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所有机关、</w:t>
            </w:r>
          </w:p>
          <w:p>
            <w:pPr>
              <w:pStyle w:val="21"/>
              <w:spacing w:before="79"/>
              <w:ind w:left="14"/>
              <w:jc w:val="center"/>
              <w:rPr>
                <w:rFonts w:ascii="仿宋_GB2312" w:eastAsia="仿宋_GB2312"/>
                <w:szCs w:val="21"/>
                <w:lang w:val="en-US"/>
              </w:rPr>
            </w:pPr>
            <w:r>
              <w:rPr>
                <w:rFonts w:hint="eastAsia" w:ascii="仿宋_GB2312" w:eastAsia="仿宋_GB2312"/>
                <w:szCs w:val="21"/>
                <w:lang w:val="en-US"/>
              </w:rPr>
              <w:t>企事业单位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2.</w:t>
            </w:r>
            <w:r>
              <w:rPr>
                <w:rFonts w:hint="eastAsia" w:ascii="仿宋_GB2312" w:eastAsia="仿宋_GB2312"/>
                <w:szCs w:val="21"/>
                <w:lang w:val="en-US"/>
              </w:rPr>
              <w:t>禁止烟草广告。</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辖区未发现烟草广告，</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tcBorders>
              <w:top w:val="single" w:color="auto" w:sz="4" w:space="0"/>
              <w:bottom w:val="single" w:color="auto" w:sz="4" w:space="0"/>
            </w:tcBorders>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1</w:t>
            </w:r>
          </w:p>
        </w:tc>
        <w:tc>
          <w:tcPr>
            <w:tcW w:w="1260" w:type="dxa"/>
            <w:tcBorders>
              <w:top w:val="single" w:color="auto" w:sz="4" w:space="0"/>
              <w:bottom w:val="single" w:color="auto" w:sz="4" w:space="0"/>
            </w:tcBorders>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3.</w:t>
            </w:r>
            <w:r>
              <w:rPr>
                <w:rFonts w:hint="eastAsia" w:ascii="仿宋_GB2312" w:eastAsia="仿宋_GB2312"/>
                <w:szCs w:val="21"/>
                <w:lang w:val="en-US"/>
              </w:rPr>
              <w:t>建设无烟党政机关、无烟医疗卫生机构、无烟学校。</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）覆盖率均达</w:t>
            </w:r>
            <w:r>
              <w:rPr>
                <w:rFonts w:ascii="仿宋_GB2312" w:eastAsia="仿宋_GB2312"/>
                <w:szCs w:val="21"/>
                <w:lang w:val="en-US"/>
              </w:rPr>
              <w:t>100%</w:t>
            </w: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100%</w:t>
            </w:r>
            <w:r>
              <w:rPr>
                <w:rFonts w:hint="eastAsia" w:ascii="仿宋_GB2312" w:eastAsia="仿宋_GB2312"/>
                <w:szCs w:val="21"/>
                <w:lang w:val="en-US"/>
              </w:rPr>
              <w:t>以下</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）抽查发现</w:t>
            </w:r>
            <w:r>
              <w:rPr>
                <w:rFonts w:ascii="仿宋_GB2312" w:eastAsia="仿宋_GB2312"/>
                <w:szCs w:val="21"/>
                <w:lang w:val="en-US"/>
              </w:rPr>
              <w:t>1</w:t>
            </w:r>
            <w:r>
              <w:rPr>
                <w:rFonts w:hint="eastAsia" w:ascii="仿宋_GB2312" w:eastAsia="仿宋_GB2312"/>
                <w:szCs w:val="21"/>
                <w:lang w:val="en-US"/>
              </w:rPr>
              <w:t>个单位不合格，不得分。</w:t>
            </w:r>
          </w:p>
        </w:tc>
        <w:tc>
          <w:tcPr>
            <w:tcW w:w="720" w:type="dxa"/>
            <w:tcBorders>
              <w:top w:val="single" w:color="auto" w:sz="4" w:space="0"/>
            </w:tcBorders>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2</w:t>
            </w:r>
          </w:p>
        </w:tc>
        <w:tc>
          <w:tcPr>
            <w:tcW w:w="1260" w:type="dxa"/>
            <w:tcBorders>
              <w:top w:val="single" w:color="auto" w:sz="4" w:space="0"/>
            </w:tcBorders>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4.</w:t>
            </w:r>
            <w:r>
              <w:rPr>
                <w:rFonts w:hint="eastAsia" w:ascii="仿宋_GB2312" w:eastAsia="仿宋_GB2312"/>
                <w:szCs w:val="21"/>
                <w:lang w:val="en-US"/>
              </w:rPr>
              <w:t>辖区各级医疗机构开展简短戒烟服务培训并提供简短戒烟服务。</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）开展简短戒烟服务培训的医疗机构覆盖率≥</w:t>
            </w:r>
            <w:r>
              <w:rPr>
                <w:rFonts w:ascii="仿宋_GB2312" w:eastAsia="仿宋_GB2312"/>
                <w:szCs w:val="21"/>
                <w:lang w:val="en-US"/>
              </w:rPr>
              <w:t>80%</w:t>
            </w: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分；</w:t>
            </w:r>
            <w:r>
              <w:rPr>
                <w:rFonts w:ascii="仿宋_GB2312" w:eastAsia="仿宋_GB2312"/>
                <w:szCs w:val="21"/>
                <w:lang w:val="en-US"/>
              </w:rPr>
              <w:t>80%</w:t>
            </w:r>
            <w:r>
              <w:rPr>
                <w:rFonts w:hint="eastAsia" w:ascii="仿宋_GB2312" w:eastAsia="仿宋_GB2312"/>
                <w:szCs w:val="21"/>
                <w:lang w:val="en-US"/>
              </w:rPr>
              <w:t>以下</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）提供简短戒烟服务的医疗机构覆盖率</w:t>
            </w:r>
            <w:r>
              <w:rPr>
                <w:rFonts w:ascii="仿宋_GB2312" w:eastAsia="仿宋_GB2312"/>
                <w:szCs w:val="21"/>
                <w:lang w:val="en-US"/>
              </w:rPr>
              <w:t>100%</w:t>
            </w:r>
            <w:r>
              <w:rPr>
                <w:rFonts w:hint="eastAsia" w:ascii="仿宋_GB2312" w:eastAsia="仿宋_GB2312"/>
                <w:szCs w:val="21"/>
                <w:lang w:val="en-US"/>
              </w:rPr>
              <w:t>，</w:t>
            </w:r>
            <w:r>
              <w:rPr>
                <w:rFonts w:ascii="仿宋_GB2312" w:eastAsia="仿宋_GB2312"/>
                <w:szCs w:val="21"/>
                <w:lang w:val="en-US"/>
              </w:rPr>
              <w:t xml:space="preserve">1 </w:t>
            </w:r>
            <w:r>
              <w:rPr>
                <w:rFonts w:hint="eastAsia" w:ascii="仿宋_GB2312" w:eastAsia="仿宋_GB2312"/>
                <w:szCs w:val="21"/>
                <w:lang w:val="en-US"/>
              </w:rPr>
              <w:t>分；</w:t>
            </w:r>
            <w:r>
              <w:rPr>
                <w:rFonts w:ascii="仿宋_GB2312" w:eastAsia="仿宋_GB2312"/>
                <w:szCs w:val="21"/>
                <w:lang w:val="en-US"/>
              </w:rPr>
              <w:t>100%</w:t>
            </w:r>
            <w:r>
              <w:rPr>
                <w:rFonts w:hint="eastAsia" w:ascii="仿宋_GB2312" w:eastAsia="仿宋_GB2312"/>
                <w:szCs w:val="21"/>
                <w:lang w:val="en-US"/>
              </w:rPr>
              <w:t>以下</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2</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5.</w:t>
            </w:r>
            <w:r>
              <w:rPr>
                <w:rFonts w:hint="eastAsia" w:ascii="仿宋_GB2312" w:eastAsia="仿宋_GB2312"/>
                <w:szCs w:val="21"/>
                <w:lang w:val="en-US"/>
              </w:rPr>
              <w:t>降低辖区</w:t>
            </w:r>
            <w:r>
              <w:rPr>
                <w:rFonts w:ascii="仿宋_GB2312" w:eastAsia="仿宋_GB2312"/>
                <w:szCs w:val="21"/>
                <w:lang w:val="en-US"/>
              </w:rPr>
              <w:t>15</w:t>
            </w:r>
            <w:r>
              <w:rPr>
                <w:rFonts w:hint="eastAsia" w:ascii="仿宋_GB2312" w:eastAsia="仿宋_GB2312"/>
                <w:szCs w:val="21"/>
                <w:lang w:val="en-US"/>
              </w:rPr>
              <w:t>岁及以上人群吸烟率。</w:t>
            </w:r>
          </w:p>
        </w:tc>
        <w:tc>
          <w:tcPr>
            <w:tcW w:w="6869" w:type="dxa"/>
            <w:vAlign w:val="center"/>
          </w:tcPr>
          <w:p>
            <w:pPr>
              <w:pStyle w:val="21"/>
              <w:spacing w:before="79"/>
              <w:ind w:left="14"/>
              <w:rPr>
                <w:rFonts w:ascii="仿宋_GB2312" w:eastAsia="仿宋_GB2312"/>
                <w:szCs w:val="21"/>
                <w:lang w:val="en-US"/>
              </w:rPr>
            </w:pPr>
            <w:r>
              <w:rPr>
                <w:rFonts w:ascii="仿宋_GB2312" w:eastAsia="仿宋_GB2312"/>
                <w:szCs w:val="21"/>
                <w:lang w:val="en-US"/>
              </w:rPr>
              <w:t>15</w:t>
            </w:r>
            <w:r>
              <w:rPr>
                <w:rFonts w:hint="eastAsia" w:ascii="仿宋_GB2312" w:eastAsia="仿宋_GB2312"/>
                <w:szCs w:val="21"/>
                <w:lang w:val="en-US"/>
              </w:rPr>
              <w:t>岁及以上人群吸烟率低于</w:t>
            </w:r>
            <w:r>
              <w:rPr>
                <w:rFonts w:ascii="仿宋_GB2312" w:eastAsia="仿宋_GB2312"/>
                <w:szCs w:val="21"/>
                <w:lang w:val="en-US"/>
              </w:rPr>
              <w:t>20%</w:t>
            </w:r>
            <w:r>
              <w:rPr>
                <w:rFonts w:hint="eastAsia" w:ascii="仿宋_GB2312" w:eastAsia="仿宋_GB2312"/>
                <w:szCs w:val="21"/>
                <w:lang w:val="en-US"/>
              </w:rPr>
              <w:t>，</w:t>
            </w:r>
            <w:r>
              <w:rPr>
                <w:rFonts w:ascii="仿宋_GB2312" w:eastAsia="仿宋_GB2312"/>
                <w:szCs w:val="21"/>
                <w:lang w:val="en-US"/>
              </w:rPr>
              <w:t>4</w:t>
            </w:r>
            <w:r>
              <w:rPr>
                <w:rFonts w:hint="eastAsia" w:ascii="仿宋_GB2312" w:eastAsia="仿宋_GB2312"/>
                <w:szCs w:val="21"/>
                <w:lang w:val="en-US"/>
              </w:rPr>
              <w:t>分；</w:t>
            </w:r>
            <w:r>
              <w:rPr>
                <w:rFonts w:ascii="仿宋_GB2312" w:eastAsia="仿宋_GB2312"/>
                <w:szCs w:val="21"/>
                <w:lang w:val="en-US"/>
              </w:rPr>
              <w:t>20%-25%</w:t>
            </w: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25%</w:t>
            </w:r>
            <w:r>
              <w:rPr>
                <w:rFonts w:hint="eastAsia" w:ascii="仿宋_GB2312" w:eastAsia="仿宋_GB2312"/>
                <w:szCs w:val="21"/>
                <w:lang w:val="en-US"/>
              </w:rPr>
              <w:t>不得分。</w:t>
            </w:r>
          </w:p>
          <w:p>
            <w:pPr>
              <w:pStyle w:val="21"/>
              <w:spacing w:before="79"/>
              <w:ind w:left="14"/>
              <w:rPr>
                <w:rFonts w:ascii="仿宋_GB2312" w:eastAsia="仿宋_GB2312"/>
                <w:szCs w:val="21"/>
                <w:lang w:val="en-US"/>
              </w:rPr>
            </w:pPr>
            <w:r>
              <w:rPr>
                <w:rFonts w:hint="eastAsia" w:ascii="仿宋_GB2312" w:eastAsia="仿宋_GB2312"/>
                <w:szCs w:val="21"/>
                <w:lang w:val="en-US"/>
              </w:rPr>
              <w:t>复审：</w:t>
            </w:r>
            <w:r>
              <w:rPr>
                <w:rFonts w:ascii="仿宋_GB2312" w:eastAsia="仿宋_GB2312"/>
                <w:szCs w:val="21"/>
                <w:lang w:val="en-US"/>
              </w:rPr>
              <w:t>15</w:t>
            </w:r>
            <w:r>
              <w:rPr>
                <w:rFonts w:hint="eastAsia" w:ascii="仿宋_GB2312" w:eastAsia="仿宋_GB2312"/>
                <w:szCs w:val="21"/>
                <w:lang w:val="en-US"/>
              </w:rPr>
              <w:t>岁及以上人群吸烟率逐年下降，</w:t>
            </w:r>
            <w:r>
              <w:rPr>
                <w:rFonts w:ascii="仿宋_GB2312" w:eastAsia="仿宋_GB2312"/>
                <w:szCs w:val="21"/>
                <w:lang w:val="en-US"/>
              </w:rPr>
              <w:t>5</w:t>
            </w:r>
            <w:r>
              <w:rPr>
                <w:rFonts w:hint="eastAsia" w:ascii="仿宋_GB2312" w:eastAsia="仿宋_GB2312"/>
                <w:szCs w:val="21"/>
                <w:lang w:val="en-US"/>
              </w:rPr>
              <w:t>年降低</w:t>
            </w:r>
            <w:r>
              <w:rPr>
                <w:rFonts w:ascii="仿宋_GB2312" w:eastAsia="仿宋_GB2312"/>
                <w:szCs w:val="21"/>
                <w:lang w:val="en-US"/>
              </w:rPr>
              <w:t>10%</w:t>
            </w:r>
            <w:r>
              <w:rPr>
                <w:rFonts w:hint="eastAsia" w:ascii="仿宋_GB2312" w:eastAsia="仿宋_GB2312"/>
                <w:szCs w:val="21"/>
                <w:lang w:val="en-US"/>
              </w:rPr>
              <w:t>以上，</w:t>
            </w:r>
            <w:r>
              <w:rPr>
                <w:rFonts w:ascii="仿宋_GB2312" w:eastAsia="仿宋_GB2312"/>
                <w:szCs w:val="21"/>
                <w:lang w:val="en-US"/>
              </w:rPr>
              <w:t>4</w:t>
            </w:r>
            <w:r>
              <w:rPr>
                <w:rFonts w:hint="eastAsia" w:ascii="仿宋_GB2312" w:eastAsia="仿宋_GB2312"/>
                <w:szCs w:val="21"/>
                <w:lang w:val="en-US"/>
              </w:rPr>
              <w:t>分；</w:t>
            </w:r>
            <w:r>
              <w:rPr>
                <w:rFonts w:ascii="仿宋_GB2312" w:eastAsia="仿宋_GB2312"/>
                <w:szCs w:val="21"/>
                <w:lang w:val="en-US"/>
              </w:rPr>
              <w:t>5</w:t>
            </w:r>
            <w:r>
              <w:rPr>
                <w:rFonts w:hint="eastAsia" w:ascii="仿宋_GB2312" w:eastAsia="仿宋_GB2312"/>
                <w:szCs w:val="21"/>
                <w:lang w:val="en-US"/>
              </w:rPr>
              <w:t>年降低</w:t>
            </w:r>
            <w:r>
              <w:rPr>
                <w:rFonts w:ascii="仿宋_GB2312" w:eastAsia="仿宋_GB2312"/>
                <w:szCs w:val="21"/>
                <w:lang w:val="en-US"/>
              </w:rPr>
              <w:t>5%-10%</w:t>
            </w: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分，其余不得分。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4</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p>
            <w:pPr>
              <w:pStyle w:val="21"/>
              <w:spacing w:before="79"/>
              <w:ind w:left="14"/>
              <w:jc w:val="center"/>
              <w:rPr>
                <w:rFonts w:ascii="仿宋_GB2312" w:eastAsia="仿宋_GB2312"/>
                <w:szCs w:val="21"/>
                <w:lang w:val="en-US"/>
              </w:rPr>
            </w:pPr>
            <w:r>
              <w:rPr>
                <w:rFonts w:hint="eastAsia" w:ascii="仿宋_GB2312" w:eastAsia="仿宋_GB2312"/>
                <w:szCs w:val="21"/>
                <w:lang w:val="en-US"/>
              </w:rPr>
              <w:t>各职能部门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7" w:hRule="atLeast"/>
          <w:jc w:val="center"/>
        </w:trPr>
        <w:tc>
          <w:tcPr>
            <w:tcW w:w="949"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三、“三减三健专项行动</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20</w:t>
            </w:r>
            <w:r>
              <w:rPr>
                <w:rFonts w:hint="eastAsia" w:ascii="仿宋_GB2312" w:eastAsia="仿宋_GB2312"/>
                <w:szCs w:val="21"/>
                <w:lang w:val="en-US"/>
              </w:rPr>
              <w:t>分）</w:t>
            </w:r>
          </w:p>
        </w:tc>
        <w:tc>
          <w:tcPr>
            <w:tcW w:w="1267"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（一）开展专题宣传。</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5</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1.</w:t>
            </w:r>
            <w:r>
              <w:rPr>
                <w:rFonts w:hint="eastAsia" w:ascii="仿宋_GB2312" w:eastAsia="仿宋_GB2312"/>
                <w:szCs w:val="21"/>
                <w:lang w:val="en-US"/>
              </w:rPr>
              <w:t>开展健康生活方式主题日（周）主题宣传（</w:t>
            </w:r>
            <w:r>
              <w:rPr>
                <w:rFonts w:ascii="仿宋_GB2312" w:eastAsia="仿宋_GB2312"/>
                <w:szCs w:val="21"/>
                <w:lang w:val="en-US"/>
              </w:rPr>
              <w:t>2</w:t>
            </w:r>
            <w:r>
              <w:rPr>
                <w:rFonts w:hint="eastAsia" w:ascii="仿宋_GB2312" w:eastAsia="仿宋_GB2312"/>
                <w:szCs w:val="21"/>
                <w:lang w:val="en-US"/>
              </w:rPr>
              <w:t>分）。</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）开展健康生活方式日宣传，</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）开展全民营养周、中国减盐周、世界爱牙日、世界骨质疏松日等“三减三健”相关内容的专项宣传，</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2</w:t>
            </w:r>
          </w:p>
        </w:tc>
        <w:tc>
          <w:tcPr>
            <w:tcW w:w="1260" w:type="dxa"/>
            <w:vMerge w:val="restart"/>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p>
            <w:pPr>
              <w:pStyle w:val="21"/>
              <w:spacing w:before="79"/>
              <w:ind w:left="14"/>
              <w:jc w:val="center"/>
              <w:rPr>
                <w:rFonts w:ascii="仿宋_GB2312" w:eastAsia="仿宋_GB2312"/>
                <w:szCs w:val="21"/>
                <w:lang w:val="en-US"/>
              </w:rPr>
            </w:pPr>
            <w:r>
              <w:rPr>
                <w:rFonts w:hint="eastAsia" w:ascii="仿宋_GB2312" w:eastAsia="仿宋_GB2312"/>
                <w:szCs w:val="21"/>
                <w:lang w:val="en-US"/>
              </w:rPr>
              <w:t>融媒体中心</w:t>
            </w:r>
          </w:p>
          <w:p>
            <w:pPr>
              <w:pStyle w:val="21"/>
              <w:spacing w:before="79"/>
              <w:ind w:left="14"/>
              <w:jc w:val="center"/>
              <w:rPr>
                <w:rFonts w:ascii="仿宋_GB2312" w:eastAsia="仿宋_GB2312"/>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6"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2.</w:t>
            </w:r>
            <w:r>
              <w:rPr>
                <w:rFonts w:hint="eastAsia" w:ascii="仿宋_GB2312" w:eastAsia="仿宋_GB2312"/>
                <w:szCs w:val="21"/>
                <w:lang w:val="en-US"/>
              </w:rPr>
              <w:t>利用传统媒体和新媒体开展健康生活方式的日常宣传（</w:t>
            </w:r>
            <w:r>
              <w:rPr>
                <w:rFonts w:ascii="仿宋_GB2312" w:eastAsia="仿宋_GB2312"/>
                <w:szCs w:val="21"/>
                <w:lang w:val="en-US"/>
              </w:rPr>
              <w:t>3</w:t>
            </w:r>
            <w:r>
              <w:rPr>
                <w:rFonts w:hint="eastAsia" w:ascii="仿宋_GB2312" w:eastAsia="仿宋_GB2312"/>
                <w:szCs w:val="21"/>
                <w:lang w:val="en-US"/>
              </w:rPr>
              <w:t>分）。</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）充分利用传统媒体和新媒体等宣传方式，</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）宣传内容覆盖“三减三健”各个方面，</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3</w:t>
            </w:r>
            <w:r>
              <w:rPr>
                <w:rFonts w:hint="eastAsia" w:ascii="仿宋_GB2312" w:eastAsia="仿宋_GB2312"/>
                <w:szCs w:val="21"/>
                <w:lang w:val="en-US"/>
              </w:rPr>
              <w:t>）全年至少</w:t>
            </w:r>
            <w:r>
              <w:rPr>
                <w:rFonts w:ascii="仿宋_GB2312" w:eastAsia="仿宋_GB2312"/>
                <w:szCs w:val="21"/>
                <w:lang w:val="en-US"/>
              </w:rPr>
              <w:t>6</w:t>
            </w:r>
            <w:r>
              <w:rPr>
                <w:rFonts w:hint="eastAsia" w:ascii="仿宋_GB2312" w:eastAsia="仿宋_GB2312"/>
                <w:szCs w:val="21"/>
                <w:lang w:val="en-US"/>
              </w:rPr>
              <w:t>次，</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3</w:t>
            </w:r>
          </w:p>
        </w:tc>
        <w:tc>
          <w:tcPr>
            <w:tcW w:w="1260" w:type="dxa"/>
            <w:vMerge w:val="continue"/>
            <w:vAlign w:val="center"/>
          </w:tcPr>
          <w:p>
            <w:pPr>
              <w:pStyle w:val="21"/>
              <w:spacing w:before="79"/>
              <w:ind w:left="14"/>
              <w:rPr>
                <w:rFonts w:ascii="仿宋_GB2312" w:eastAsia="仿宋_GB2312"/>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1" w:hRule="atLeast"/>
          <w:jc w:val="center"/>
        </w:trPr>
        <w:tc>
          <w:tcPr>
            <w:tcW w:w="949"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三、“三减三健专项行动</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20</w:t>
            </w:r>
            <w:r>
              <w:rPr>
                <w:rFonts w:hint="eastAsia" w:ascii="仿宋_GB2312" w:eastAsia="仿宋_GB2312"/>
                <w:szCs w:val="21"/>
                <w:lang w:val="en-US"/>
              </w:rPr>
              <w:t>分）</w:t>
            </w:r>
          </w:p>
        </w:tc>
        <w:tc>
          <w:tcPr>
            <w:tcW w:w="1267"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（二）开展专项活动。</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15</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1.</w:t>
            </w:r>
            <w:r>
              <w:rPr>
                <w:rFonts w:hint="eastAsia" w:ascii="仿宋_GB2312" w:eastAsia="仿宋_GB2312"/>
                <w:szCs w:val="21"/>
                <w:lang w:val="en-US"/>
              </w:rPr>
              <w:t>适宜技术与工具的推广与评价（</w:t>
            </w:r>
            <w:r>
              <w:rPr>
                <w:rFonts w:ascii="仿宋_GB2312" w:eastAsia="仿宋_GB2312"/>
                <w:szCs w:val="21"/>
                <w:lang w:val="en-US"/>
              </w:rPr>
              <w:t>11</w:t>
            </w:r>
            <w:r>
              <w:rPr>
                <w:rFonts w:hint="eastAsia" w:ascii="仿宋_GB2312" w:eastAsia="仿宋_GB2312"/>
                <w:szCs w:val="21"/>
                <w:lang w:val="en-US"/>
              </w:rPr>
              <w:t>分）</w:t>
            </w:r>
          </w:p>
        </w:tc>
        <w:tc>
          <w:tcPr>
            <w:tcW w:w="6869" w:type="dxa"/>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）推广使用健康“小三件”（限量盐勺、限量油壶和健康腰围尺），</w:t>
            </w:r>
            <w:r>
              <w:rPr>
                <w:rFonts w:ascii="仿宋_GB2312" w:eastAsia="仿宋_GB2312"/>
                <w:szCs w:val="21"/>
                <w:lang w:val="en-US"/>
              </w:rPr>
              <w:t>1</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）食盐与食用油的摄入量低于本省平均水平</w:t>
            </w:r>
            <w:r>
              <w:rPr>
                <w:rFonts w:ascii="仿宋_GB2312" w:eastAsia="仿宋_GB2312"/>
                <w:szCs w:val="21"/>
                <w:lang w:val="en-US"/>
              </w:rPr>
              <w:t>3%</w:t>
            </w:r>
            <w:r>
              <w:rPr>
                <w:rFonts w:hint="eastAsia" w:ascii="仿宋_GB2312" w:eastAsia="仿宋_GB2312"/>
                <w:szCs w:val="21"/>
                <w:lang w:val="en-US"/>
              </w:rPr>
              <w:t>及以上</w:t>
            </w:r>
            <w:r>
              <w:rPr>
                <w:rFonts w:ascii="仿宋_GB2312" w:eastAsia="仿宋_GB2312"/>
                <w:szCs w:val="21"/>
                <w:lang w:val="en-US"/>
              </w:rPr>
              <w:t>,</w:t>
            </w:r>
            <w:r>
              <w:rPr>
                <w:rFonts w:hint="eastAsia" w:ascii="仿宋_GB2312" w:eastAsia="仿宋_GB2312"/>
                <w:szCs w:val="21"/>
                <w:lang w:val="en-US"/>
              </w:rPr>
              <w:t>各</w:t>
            </w:r>
            <w:r>
              <w:rPr>
                <w:rFonts w:ascii="仿宋_GB2312" w:eastAsia="仿宋_GB2312"/>
                <w:szCs w:val="21"/>
                <w:lang w:val="en-US"/>
              </w:rPr>
              <w:t>1</w:t>
            </w:r>
            <w:r>
              <w:rPr>
                <w:rFonts w:hint="eastAsia" w:ascii="仿宋_GB2312" w:eastAsia="仿宋_GB2312"/>
                <w:szCs w:val="21"/>
                <w:lang w:val="en-US"/>
              </w:rPr>
              <w:t>分，共</w:t>
            </w:r>
            <w:r>
              <w:rPr>
                <w:rFonts w:ascii="仿宋_GB2312" w:eastAsia="仿宋_GB2312"/>
                <w:szCs w:val="21"/>
                <w:lang w:val="en-US"/>
              </w:rPr>
              <w:t>2</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复审：食盐与食用油的摄入量</w:t>
            </w:r>
            <w:r>
              <w:rPr>
                <w:rFonts w:ascii="仿宋_GB2312" w:eastAsia="仿宋_GB2312"/>
                <w:szCs w:val="21"/>
                <w:lang w:val="en-US"/>
              </w:rPr>
              <w:t>5</w:t>
            </w:r>
            <w:r>
              <w:rPr>
                <w:rFonts w:hint="eastAsia" w:ascii="仿宋_GB2312" w:eastAsia="仿宋_GB2312"/>
                <w:szCs w:val="21"/>
                <w:lang w:val="en-US"/>
              </w:rPr>
              <w:t>年下降</w:t>
            </w:r>
            <w:r>
              <w:rPr>
                <w:rFonts w:ascii="仿宋_GB2312" w:eastAsia="仿宋_GB2312"/>
                <w:szCs w:val="21"/>
                <w:lang w:val="en-US"/>
              </w:rPr>
              <w:t>15%</w:t>
            </w:r>
            <w:r>
              <w:rPr>
                <w:rFonts w:hint="eastAsia" w:ascii="仿宋_GB2312" w:eastAsia="仿宋_GB2312"/>
                <w:szCs w:val="21"/>
                <w:lang w:val="en-US"/>
              </w:rPr>
              <w:t>以上，各</w:t>
            </w:r>
            <w:r>
              <w:rPr>
                <w:rFonts w:ascii="仿宋_GB2312" w:eastAsia="仿宋_GB2312"/>
                <w:szCs w:val="21"/>
                <w:lang w:val="en-US"/>
              </w:rPr>
              <w:t>1</w:t>
            </w:r>
            <w:r>
              <w:rPr>
                <w:rFonts w:hint="eastAsia" w:ascii="仿宋_GB2312" w:eastAsia="仿宋_GB2312"/>
                <w:szCs w:val="21"/>
                <w:lang w:val="en-US"/>
              </w:rPr>
              <w:t>分，共</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10%-15%</w:t>
            </w:r>
            <w:r>
              <w:rPr>
                <w:rFonts w:hint="eastAsia" w:ascii="仿宋_GB2312" w:eastAsia="仿宋_GB2312"/>
                <w:szCs w:val="21"/>
                <w:lang w:val="en-US"/>
              </w:rPr>
              <w:t>各</w:t>
            </w:r>
            <w:r>
              <w:rPr>
                <w:rFonts w:ascii="仿宋_GB2312" w:eastAsia="仿宋_GB2312"/>
                <w:szCs w:val="21"/>
                <w:lang w:val="en-US"/>
              </w:rPr>
              <w:t>0.5</w:t>
            </w:r>
            <w:r>
              <w:rPr>
                <w:rFonts w:hint="eastAsia" w:ascii="仿宋_GB2312" w:eastAsia="仿宋_GB2312"/>
                <w:szCs w:val="21"/>
                <w:lang w:val="en-US"/>
              </w:rPr>
              <w:t>分，共</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3</w:t>
            </w:r>
            <w:r>
              <w:rPr>
                <w:rFonts w:hint="eastAsia" w:ascii="仿宋_GB2312" w:eastAsia="仿宋_GB2312"/>
                <w:szCs w:val="21"/>
                <w:lang w:val="en-US"/>
              </w:rPr>
              <w:t>）辖区内儿童窝沟封闭服务覆盖率≥</w:t>
            </w:r>
            <w:r>
              <w:rPr>
                <w:rFonts w:ascii="仿宋_GB2312" w:eastAsia="仿宋_GB2312"/>
                <w:szCs w:val="21"/>
                <w:lang w:val="en-US"/>
              </w:rPr>
              <w:t>60%</w:t>
            </w:r>
            <w:r>
              <w:rPr>
                <w:rFonts w:hint="eastAsia" w:ascii="仿宋_GB2312" w:eastAsia="仿宋_GB2312"/>
                <w:szCs w:val="21"/>
                <w:lang w:val="en-US"/>
              </w:rPr>
              <w:t>，</w:t>
            </w:r>
            <w:r>
              <w:rPr>
                <w:rFonts w:ascii="仿宋_GB2312" w:eastAsia="仿宋_GB2312"/>
                <w:szCs w:val="21"/>
                <w:lang w:val="en-US"/>
              </w:rPr>
              <w:t>3</w:t>
            </w:r>
            <w:r>
              <w:rPr>
                <w:rFonts w:hint="eastAsia" w:ascii="仿宋_GB2312" w:eastAsia="仿宋_GB2312"/>
                <w:szCs w:val="21"/>
                <w:lang w:val="en-US"/>
              </w:rPr>
              <w:t>分；</w:t>
            </w:r>
            <w:r>
              <w:rPr>
                <w:rFonts w:ascii="仿宋_GB2312" w:eastAsia="仿宋_GB2312"/>
                <w:szCs w:val="21"/>
                <w:lang w:val="en-US"/>
              </w:rPr>
              <w:t>60%</w:t>
            </w:r>
            <w:r>
              <w:rPr>
                <w:rFonts w:hint="eastAsia" w:ascii="仿宋_GB2312" w:eastAsia="仿宋_GB2312"/>
                <w:szCs w:val="21"/>
                <w:lang w:val="en-US"/>
              </w:rPr>
              <w:t>以下</w:t>
            </w:r>
            <w:r>
              <w:rPr>
                <w:rFonts w:ascii="仿宋_GB2312" w:eastAsia="仿宋_GB2312"/>
                <w:szCs w:val="21"/>
                <w:lang w:val="en-US"/>
              </w:rPr>
              <w:t>0</w:t>
            </w:r>
            <w:r>
              <w:rPr>
                <w:rFonts w:hint="eastAsia" w:ascii="仿宋_GB2312" w:eastAsia="仿宋_GB2312"/>
                <w:szCs w:val="21"/>
                <w:lang w:val="en-US"/>
              </w:rPr>
              <w:t>分。辖区</w:t>
            </w:r>
            <w:r>
              <w:rPr>
                <w:rFonts w:ascii="仿宋_GB2312" w:eastAsia="仿宋_GB2312"/>
                <w:szCs w:val="21"/>
                <w:lang w:val="en-US"/>
              </w:rPr>
              <w:t>12</w:t>
            </w:r>
            <w:r>
              <w:rPr>
                <w:rFonts w:hint="eastAsia" w:ascii="仿宋_GB2312" w:eastAsia="仿宋_GB2312"/>
                <w:szCs w:val="21"/>
                <w:lang w:val="en-US"/>
              </w:rPr>
              <w:t>岁儿童患龋率</w:t>
            </w:r>
            <w:r>
              <w:rPr>
                <w:rFonts w:ascii="仿宋_GB2312" w:eastAsia="仿宋_GB2312"/>
                <w:szCs w:val="21"/>
                <w:lang w:val="en-US"/>
              </w:rPr>
              <w:t>&lt;25%</w:t>
            </w:r>
            <w:r>
              <w:rPr>
                <w:rFonts w:hint="eastAsia" w:ascii="仿宋_GB2312" w:eastAsia="仿宋_GB2312"/>
                <w:szCs w:val="21"/>
                <w:lang w:val="en-US"/>
              </w:rPr>
              <w:t>，</w:t>
            </w:r>
            <w:r>
              <w:rPr>
                <w:rFonts w:ascii="仿宋_GB2312" w:eastAsia="仿宋_GB2312"/>
                <w:szCs w:val="21"/>
                <w:lang w:val="en-US"/>
              </w:rPr>
              <w:t>3</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4</w:t>
            </w:r>
            <w:r>
              <w:rPr>
                <w:rFonts w:hint="eastAsia" w:ascii="仿宋_GB2312" w:eastAsia="仿宋_GB2312"/>
                <w:szCs w:val="21"/>
                <w:lang w:val="en-US"/>
              </w:rPr>
              <w:t>）将骨密度检测纳入常规体检，逐年提高</w:t>
            </w:r>
            <w:r>
              <w:rPr>
                <w:rFonts w:ascii="仿宋_GB2312" w:eastAsia="仿宋_GB2312"/>
                <w:szCs w:val="21"/>
                <w:lang w:val="en-US"/>
              </w:rPr>
              <w:t>50</w:t>
            </w:r>
            <w:r>
              <w:rPr>
                <w:rFonts w:hint="eastAsia" w:ascii="仿宋_GB2312" w:eastAsia="仿宋_GB2312"/>
                <w:szCs w:val="21"/>
                <w:lang w:val="en-US"/>
              </w:rPr>
              <w:t>岁及以上人群骨密度检测率</w:t>
            </w:r>
            <w:r>
              <w:rPr>
                <w:rFonts w:ascii="仿宋_GB2312" w:eastAsia="仿宋_GB2312"/>
                <w:szCs w:val="21"/>
                <w:lang w:val="en-US"/>
              </w:rPr>
              <w:t>,2</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11</w:t>
            </w:r>
          </w:p>
          <w:p>
            <w:pPr>
              <w:pStyle w:val="21"/>
              <w:spacing w:before="79"/>
              <w:ind w:left="14"/>
              <w:jc w:val="center"/>
              <w:rPr>
                <w:rFonts w:ascii="仿宋_GB2312" w:eastAsia="仿宋_GB2312"/>
                <w:szCs w:val="21"/>
                <w:lang w:val="en-US"/>
              </w:rPr>
            </w:pP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p>
            <w:pPr>
              <w:pStyle w:val="21"/>
              <w:spacing w:before="79"/>
              <w:ind w:left="14"/>
              <w:jc w:val="center"/>
              <w:rPr>
                <w:rFonts w:ascii="仿宋_GB2312" w:eastAsia="仿宋_GB2312"/>
                <w:szCs w:val="21"/>
                <w:lang w:val="en-US"/>
              </w:rPr>
            </w:pPr>
            <w:r>
              <w:rPr>
                <w:rFonts w:hint="eastAsia" w:ascii="仿宋_GB2312" w:eastAsia="仿宋_GB2312"/>
                <w:szCs w:val="21"/>
                <w:lang w:val="en-US"/>
              </w:rPr>
              <w:t>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2.</w:t>
            </w:r>
            <w:r>
              <w:rPr>
                <w:rFonts w:hint="eastAsia" w:ascii="仿宋_GB2312" w:eastAsia="仿宋_GB2312"/>
                <w:szCs w:val="21"/>
                <w:lang w:val="en-US"/>
              </w:rPr>
              <w:t>健康生活方式指导员能力建设。（</w:t>
            </w:r>
            <w:r>
              <w:rPr>
                <w:rFonts w:ascii="仿宋_GB2312" w:eastAsia="仿宋_GB2312"/>
                <w:szCs w:val="21"/>
                <w:lang w:val="en-US"/>
              </w:rPr>
              <w:t>2</w:t>
            </w:r>
            <w:r>
              <w:rPr>
                <w:rFonts w:hint="eastAsia" w:ascii="仿宋_GB2312" w:eastAsia="仿宋_GB2312"/>
                <w:szCs w:val="21"/>
                <w:lang w:val="en-US"/>
              </w:rPr>
              <w:t>分）</w:t>
            </w:r>
          </w:p>
        </w:tc>
        <w:tc>
          <w:tcPr>
            <w:tcW w:w="6869" w:type="dxa"/>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）在健康社区的社区工作者中至少有</w:t>
            </w:r>
            <w:r>
              <w:rPr>
                <w:rFonts w:ascii="仿宋_GB2312" w:eastAsia="仿宋_GB2312"/>
                <w:szCs w:val="21"/>
                <w:lang w:val="en-US"/>
              </w:rPr>
              <w:t>1</w:t>
            </w:r>
            <w:r>
              <w:rPr>
                <w:rFonts w:hint="eastAsia" w:ascii="仿宋_GB2312" w:eastAsia="仿宋_GB2312"/>
                <w:szCs w:val="21"/>
                <w:lang w:val="en-US"/>
              </w:rPr>
              <w:t>名健康生活方式指导员，</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复审：每年至少招募并培训</w:t>
            </w:r>
            <w:r>
              <w:rPr>
                <w:rFonts w:ascii="仿宋_GB2312" w:eastAsia="仿宋_GB2312"/>
                <w:szCs w:val="21"/>
                <w:lang w:val="en-US"/>
              </w:rPr>
              <w:t>5</w:t>
            </w:r>
            <w:r>
              <w:rPr>
                <w:rFonts w:hint="eastAsia" w:ascii="仿宋_GB2312" w:eastAsia="仿宋_GB2312"/>
                <w:szCs w:val="21"/>
                <w:lang w:val="en-US"/>
              </w:rPr>
              <w:t>名健康生活方式指导员，</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）每年举办或者组织参加“三减三健”相关培训至少一次，</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2</w:t>
            </w:r>
          </w:p>
        </w:tc>
        <w:tc>
          <w:tcPr>
            <w:tcW w:w="1260" w:type="dxa"/>
            <w:vMerge w:val="restart"/>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p>
            <w:pPr>
              <w:pStyle w:val="21"/>
              <w:spacing w:before="79"/>
              <w:ind w:left="14"/>
              <w:jc w:val="center"/>
              <w:rPr>
                <w:rFonts w:ascii="仿宋_GB2312" w:eastAsia="仿宋_GB2312"/>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3.</w:t>
            </w:r>
            <w:r>
              <w:rPr>
                <w:rFonts w:hint="eastAsia" w:ascii="仿宋_GB2312" w:eastAsia="仿宋_GB2312"/>
                <w:szCs w:val="21"/>
                <w:lang w:val="en-US"/>
              </w:rPr>
              <w:t>健康生活方式指导员的五进活动。（</w:t>
            </w:r>
            <w:r>
              <w:rPr>
                <w:rFonts w:ascii="仿宋_GB2312" w:eastAsia="仿宋_GB2312"/>
                <w:szCs w:val="21"/>
                <w:lang w:val="en-US"/>
              </w:rPr>
              <w:t>2</w:t>
            </w:r>
            <w:r>
              <w:rPr>
                <w:rFonts w:hint="eastAsia" w:ascii="仿宋_GB2312" w:eastAsia="仿宋_GB2312"/>
                <w:szCs w:val="21"/>
                <w:lang w:val="en-US"/>
              </w:rPr>
              <w:t>分）</w:t>
            </w:r>
          </w:p>
        </w:tc>
        <w:tc>
          <w:tcPr>
            <w:tcW w:w="6869" w:type="dxa"/>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）覆盖家庭、社区、学校、单位、医院等五类场所，</w:t>
            </w:r>
            <w:r>
              <w:rPr>
                <w:rFonts w:ascii="仿宋_GB2312" w:eastAsia="仿宋_GB2312"/>
                <w:szCs w:val="21"/>
                <w:lang w:val="en-US"/>
              </w:rPr>
              <w:t>1</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）每年至少开展</w:t>
            </w:r>
            <w:r>
              <w:rPr>
                <w:rFonts w:ascii="仿宋_GB2312" w:eastAsia="仿宋_GB2312"/>
                <w:szCs w:val="21"/>
                <w:lang w:val="en-US"/>
              </w:rPr>
              <w:t>2</w:t>
            </w:r>
            <w:r>
              <w:rPr>
                <w:rFonts w:hint="eastAsia" w:ascii="仿宋_GB2312" w:eastAsia="仿宋_GB2312"/>
                <w:szCs w:val="21"/>
                <w:lang w:val="en-US"/>
              </w:rPr>
              <w:t>项特色现场活动，</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2</w:t>
            </w:r>
          </w:p>
        </w:tc>
        <w:tc>
          <w:tcPr>
            <w:tcW w:w="1260" w:type="dxa"/>
            <w:vMerge w:val="continue"/>
            <w:vAlign w:val="center"/>
          </w:tcPr>
          <w:p>
            <w:pPr>
              <w:pStyle w:val="21"/>
              <w:spacing w:before="79"/>
              <w:ind w:left="14"/>
              <w:jc w:val="center"/>
              <w:rPr>
                <w:rFonts w:ascii="仿宋_GB2312" w:eastAsia="仿宋_GB2312"/>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3" w:hRule="atLeast"/>
          <w:jc w:val="center"/>
        </w:trPr>
        <w:tc>
          <w:tcPr>
            <w:tcW w:w="949"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四、体系整合</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 xml:space="preserve">30 </w:t>
            </w:r>
            <w:r>
              <w:rPr>
                <w:rFonts w:hint="eastAsia" w:ascii="仿宋_GB2312" w:eastAsia="仿宋_GB2312"/>
                <w:szCs w:val="21"/>
                <w:lang w:val="en-US"/>
              </w:rPr>
              <w:t>分</w:t>
            </w:r>
          </w:p>
        </w:tc>
        <w:tc>
          <w:tcPr>
            <w:tcW w:w="1267"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（一）建立防治结合、分工协作、优势互补）、上下联动的慢性病综合防治体系。</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15</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1.</w:t>
            </w:r>
            <w:r>
              <w:rPr>
                <w:rFonts w:hint="eastAsia" w:ascii="仿宋_GB2312" w:eastAsia="仿宋_GB2312"/>
                <w:szCs w:val="21"/>
                <w:lang w:val="en-US"/>
              </w:rPr>
              <w:t>建立完善慢性病防控服务体系和分工明确、上下联动的工作机制。</w:t>
            </w:r>
          </w:p>
        </w:tc>
        <w:tc>
          <w:tcPr>
            <w:tcW w:w="6869" w:type="dxa"/>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）辖区卫生健康行政部门制定实施慢性病防控服务体系建设的方案，</w:t>
            </w:r>
            <w:r>
              <w:rPr>
                <w:rFonts w:ascii="仿宋_GB2312" w:eastAsia="仿宋_GB2312"/>
                <w:szCs w:val="21"/>
                <w:lang w:val="en-US"/>
              </w:rPr>
              <w:t>4</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）明确专业公共卫生机构、医院和基层医疗卫生机构职责，</w:t>
            </w:r>
            <w:r>
              <w:rPr>
                <w:rFonts w:ascii="仿宋_GB2312" w:eastAsia="仿宋_GB2312"/>
                <w:szCs w:val="21"/>
                <w:lang w:val="en-US"/>
              </w:rPr>
              <w:t>4</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8</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2.</w:t>
            </w:r>
            <w:r>
              <w:rPr>
                <w:rFonts w:hint="eastAsia" w:ascii="仿宋_GB2312" w:eastAsia="仿宋_GB2312"/>
                <w:szCs w:val="21"/>
                <w:lang w:val="en-US"/>
              </w:rPr>
              <w:t>建立完善信息共享、互联互通等的工作机制，推进慢性病防、治、管的整合。</w:t>
            </w:r>
          </w:p>
        </w:tc>
        <w:tc>
          <w:tcPr>
            <w:tcW w:w="6869" w:type="dxa"/>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）卫生健康行政部门负责督导慢性病防控服务体系的有效运行，</w:t>
            </w:r>
            <w:r>
              <w:rPr>
                <w:rFonts w:ascii="仿宋_GB2312" w:eastAsia="仿宋_GB2312"/>
                <w:szCs w:val="21"/>
                <w:lang w:val="en-US"/>
              </w:rPr>
              <w:t>2</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）建立完善慢性病防控服务体系的运行、质控、绩效评价机制，</w:t>
            </w:r>
            <w:r>
              <w:rPr>
                <w:rFonts w:ascii="仿宋_GB2312" w:eastAsia="仿宋_GB2312"/>
                <w:szCs w:val="21"/>
                <w:lang w:val="en-US"/>
              </w:rPr>
              <w:t>3</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3</w:t>
            </w:r>
            <w:r>
              <w:rPr>
                <w:rFonts w:hint="eastAsia" w:ascii="仿宋_GB2312" w:eastAsia="仿宋_GB2312"/>
                <w:szCs w:val="21"/>
                <w:lang w:val="en-US"/>
              </w:rPr>
              <w:t>）疾控机构、医院对基层医疗卫生机构进行的技术指导和对口支援，建立有效的合作关系，</w:t>
            </w:r>
            <w:r>
              <w:rPr>
                <w:rFonts w:ascii="仿宋_GB2312" w:eastAsia="仿宋_GB2312"/>
                <w:szCs w:val="21"/>
                <w:lang w:val="en-US"/>
              </w:rPr>
              <w:t>2</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7</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atLeast"/>
          <w:jc w:val="center"/>
        </w:trPr>
        <w:tc>
          <w:tcPr>
            <w:tcW w:w="949"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四、体系整合</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 xml:space="preserve">30 </w:t>
            </w:r>
            <w:r>
              <w:rPr>
                <w:rFonts w:hint="eastAsia" w:ascii="仿宋_GB2312" w:eastAsia="仿宋_GB2312"/>
                <w:szCs w:val="21"/>
                <w:lang w:val="en-US"/>
              </w:rPr>
              <w:t>分</w:t>
            </w:r>
          </w:p>
        </w:tc>
        <w:tc>
          <w:tcPr>
            <w:tcW w:w="1267"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（二）加强慢性病防控队伍建设。</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15</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1.</w:t>
            </w:r>
            <w:r>
              <w:rPr>
                <w:rFonts w:hint="eastAsia" w:ascii="仿宋_GB2312" w:eastAsia="仿宋_GB2312"/>
                <w:szCs w:val="21"/>
                <w:lang w:val="en-US"/>
              </w:rPr>
              <w:t>加强疾病预防控制机构慢性病防控专业技术人员能力建设。</w:t>
            </w:r>
          </w:p>
        </w:tc>
        <w:tc>
          <w:tcPr>
            <w:tcW w:w="6869" w:type="dxa"/>
          </w:tcPr>
          <w:p>
            <w:pPr>
              <w:pStyle w:val="21"/>
              <w:spacing w:before="79"/>
              <w:ind w:left="14"/>
              <w:rPr>
                <w:rFonts w:ascii="仿宋_GB2312" w:eastAsia="仿宋_GB2312"/>
                <w:szCs w:val="21"/>
                <w:lang w:val="en-US"/>
              </w:rPr>
            </w:pPr>
            <w:r>
              <w:rPr>
                <w:rFonts w:hint="eastAsia" w:ascii="仿宋_GB2312" w:eastAsia="仿宋_GB2312"/>
                <w:szCs w:val="21"/>
                <w:lang w:val="en-US"/>
              </w:rPr>
              <w:t>疾病预防控制机构每年组织本单位慢性病防控专业技术人员参加专业培训不少于</w:t>
            </w:r>
            <w:r>
              <w:rPr>
                <w:rFonts w:ascii="仿宋_GB2312" w:eastAsia="仿宋_GB2312"/>
                <w:szCs w:val="21"/>
                <w:lang w:val="en-US"/>
              </w:rPr>
              <w:t>2</w:t>
            </w:r>
            <w:r>
              <w:rPr>
                <w:rFonts w:hint="eastAsia" w:ascii="仿宋_GB2312" w:eastAsia="仿宋_GB2312"/>
                <w:szCs w:val="21"/>
                <w:lang w:val="en-US"/>
              </w:rPr>
              <w:t>次，</w:t>
            </w:r>
            <w:r>
              <w:rPr>
                <w:rFonts w:ascii="仿宋_GB2312" w:eastAsia="仿宋_GB2312"/>
                <w:szCs w:val="21"/>
                <w:lang w:val="en-US"/>
              </w:rPr>
              <w:t>5</w:t>
            </w:r>
            <w:r>
              <w:rPr>
                <w:rFonts w:hint="eastAsia" w:ascii="仿宋_GB2312" w:eastAsia="仿宋_GB2312"/>
                <w:szCs w:val="21"/>
                <w:lang w:val="en-US"/>
              </w:rPr>
              <w:t>分；</w:t>
            </w:r>
            <w:r>
              <w:rPr>
                <w:rFonts w:ascii="仿宋_GB2312" w:eastAsia="仿宋_GB2312"/>
                <w:szCs w:val="21"/>
                <w:lang w:val="en-US"/>
              </w:rPr>
              <w:t>1</w:t>
            </w:r>
            <w:r>
              <w:rPr>
                <w:rFonts w:hint="eastAsia" w:ascii="仿宋_GB2312" w:eastAsia="仿宋_GB2312"/>
                <w:szCs w:val="21"/>
                <w:lang w:val="en-US"/>
              </w:rPr>
              <w:t>次，</w:t>
            </w:r>
            <w:r>
              <w:rPr>
                <w:rFonts w:ascii="仿宋_GB2312" w:eastAsia="仿宋_GB2312"/>
                <w:szCs w:val="21"/>
                <w:lang w:val="en-US"/>
              </w:rPr>
              <w:t>2</w:t>
            </w:r>
            <w:r>
              <w:rPr>
                <w:rFonts w:hint="eastAsia" w:ascii="仿宋_GB2312" w:eastAsia="仿宋_GB2312"/>
                <w:szCs w:val="21"/>
                <w:lang w:val="en-US"/>
              </w:rPr>
              <w:t>分；未接受培训不得分。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5</w:t>
            </w:r>
          </w:p>
        </w:tc>
        <w:tc>
          <w:tcPr>
            <w:tcW w:w="1260" w:type="dxa"/>
            <w:vMerge w:val="restart"/>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2.</w:t>
            </w:r>
            <w:r>
              <w:rPr>
                <w:rFonts w:hint="eastAsia" w:ascii="仿宋_GB2312" w:eastAsia="仿宋_GB2312"/>
                <w:szCs w:val="21"/>
                <w:lang w:val="en-US"/>
              </w:rPr>
              <w:t>提升二级以上医院公共卫生专业人员能力。</w:t>
            </w:r>
          </w:p>
        </w:tc>
        <w:tc>
          <w:tcPr>
            <w:tcW w:w="6869" w:type="dxa"/>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）二级及以上医院每年组织本单位承担疾病预防控制工作的专业技术人员接受专业培训不少于</w:t>
            </w:r>
            <w:r>
              <w:rPr>
                <w:rFonts w:ascii="仿宋_GB2312" w:eastAsia="仿宋_GB2312"/>
                <w:szCs w:val="21"/>
                <w:lang w:val="en-US"/>
              </w:rPr>
              <w:t>2</w:t>
            </w:r>
            <w:r>
              <w:rPr>
                <w:rFonts w:hint="eastAsia" w:ascii="仿宋_GB2312" w:eastAsia="仿宋_GB2312"/>
                <w:szCs w:val="21"/>
                <w:lang w:val="en-US"/>
              </w:rPr>
              <w:t>次，</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 xml:space="preserve">1 </w:t>
            </w:r>
            <w:r>
              <w:rPr>
                <w:rFonts w:hint="eastAsia" w:ascii="仿宋_GB2312" w:eastAsia="仿宋_GB2312"/>
                <w:szCs w:val="21"/>
                <w:lang w:val="en-US"/>
              </w:rPr>
              <w:t>次，</w:t>
            </w:r>
            <w:r>
              <w:rPr>
                <w:rFonts w:ascii="仿宋_GB2312" w:eastAsia="仿宋_GB2312"/>
                <w:szCs w:val="21"/>
                <w:lang w:val="en-US"/>
              </w:rPr>
              <w:t>1</w:t>
            </w:r>
            <w:r>
              <w:rPr>
                <w:rFonts w:hint="eastAsia" w:ascii="仿宋_GB2312" w:eastAsia="仿宋_GB2312"/>
                <w:szCs w:val="21"/>
                <w:lang w:val="en-US"/>
              </w:rPr>
              <w:t>分；未接受培训不得分。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）二级及以上医院每年组织对辖区基层医疗机构的慢病专业培训不少于</w:t>
            </w:r>
            <w:r>
              <w:rPr>
                <w:rFonts w:ascii="仿宋_GB2312" w:eastAsia="仿宋_GB2312"/>
                <w:szCs w:val="21"/>
                <w:lang w:val="en-US"/>
              </w:rPr>
              <w:t xml:space="preserve"> 2</w:t>
            </w:r>
            <w:r>
              <w:rPr>
                <w:rFonts w:hint="eastAsia" w:ascii="仿宋_GB2312" w:eastAsia="仿宋_GB2312"/>
                <w:szCs w:val="21"/>
                <w:lang w:val="en-US"/>
              </w:rPr>
              <w:t>次，</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1</w:t>
            </w:r>
            <w:r>
              <w:rPr>
                <w:rFonts w:hint="eastAsia" w:ascii="仿宋_GB2312" w:eastAsia="仿宋_GB2312"/>
                <w:szCs w:val="21"/>
                <w:lang w:val="en-US"/>
              </w:rPr>
              <w:t>次，</w:t>
            </w:r>
            <w:r>
              <w:rPr>
                <w:rFonts w:ascii="仿宋_GB2312" w:eastAsia="仿宋_GB2312"/>
                <w:szCs w:val="21"/>
                <w:lang w:val="en-US"/>
              </w:rPr>
              <w:t>1</w:t>
            </w:r>
            <w:r>
              <w:rPr>
                <w:rFonts w:hint="eastAsia" w:ascii="仿宋_GB2312" w:eastAsia="仿宋_GB2312"/>
                <w:szCs w:val="21"/>
                <w:lang w:val="en-US"/>
              </w:rPr>
              <w:t>分；未接受培训不得分。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4</w:t>
            </w:r>
          </w:p>
        </w:tc>
        <w:tc>
          <w:tcPr>
            <w:tcW w:w="1260" w:type="dxa"/>
            <w:vMerge w:val="continue"/>
            <w:vAlign w:val="center"/>
          </w:tcPr>
          <w:p>
            <w:pPr>
              <w:pStyle w:val="21"/>
              <w:spacing w:before="79"/>
              <w:ind w:left="14"/>
              <w:jc w:val="center"/>
              <w:rPr>
                <w:rFonts w:ascii="仿宋_GB2312" w:eastAsia="仿宋_GB2312"/>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1"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3.</w:t>
            </w:r>
            <w:r>
              <w:rPr>
                <w:rFonts w:hint="eastAsia" w:ascii="仿宋_GB2312" w:eastAsia="仿宋_GB2312"/>
                <w:szCs w:val="21"/>
                <w:lang w:val="en-US"/>
              </w:rPr>
              <w:t>加强基层医疗卫生机构公共卫生服务能力建设，承担所在区域慢性病防控工作。</w:t>
            </w:r>
          </w:p>
        </w:tc>
        <w:tc>
          <w:tcPr>
            <w:tcW w:w="6869" w:type="dxa"/>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）基层医疗卫生机构每年接受上级疾控机构慢性病防控专业技术培训不少于</w:t>
            </w:r>
            <w:r>
              <w:rPr>
                <w:rFonts w:ascii="仿宋_GB2312" w:eastAsia="仿宋_GB2312"/>
                <w:szCs w:val="21"/>
                <w:lang w:val="en-US"/>
              </w:rPr>
              <w:t>2</w:t>
            </w:r>
            <w:r>
              <w:rPr>
                <w:rFonts w:hint="eastAsia" w:ascii="仿宋_GB2312" w:eastAsia="仿宋_GB2312"/>
                <w:szCs w:val="21"/>
                <w:lang w:val="en-US"/>
              </w:rPr>
              <w:t>次，</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1</w:t>
            </w:r>
            <w:r>
              <w:rPr>
                <w:rFonts w:hint="eastAsia" w:ascii="仿宋_GB2312" w:eastAsia="仿宋_GB2312"/>
                <w:szCs w:val="21"/>
                <w:lang w:val="en-US"/>
              </w:rPr>
              <w:t>次，</w:t>
            </w:r>
            <w:r>
              <w:rPr>
                <w:rFonts w:ascii="仿宋_GB2312" w:eastAsia="仿宋_GB2312"/>
                <w:szCs w:val="21"/>
                <w:lang w:val="en-US"/>
              </w:rPr>
              <w:t>1</w:t>
            </w:r>
            <w:r>
              <w:rPr>
                <w:rFonts w:hint="eastAsia" w:ascii="仿宋_GB2312" w:eastAsia="仿宋_GB2312"/>
                <w:szCs w:val="21"/>
                <w:lang w:val="en-US"/>
              </w:rPr>
              <w:t>分；未接受培训不得分。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）基层医疗卫生机构每年接受上级医疗机构慢性病防治专业技术培训不少于</w:t>
            </w:r>
            <w:r>
              <w:rPr>
                <w:rFonts w:ascii="仿宋_GB2312" w:eastAsia="仿宋_GB2312"/>
                <w:szCs w:val="21"/>
                <w:lang w:val="en-US"/>
              </w:rPr>
              <w:t>2</w:t>
            </w:r>
            <w:r>
              <w:rPr>
                <w:rFonts w:hint="eastAsia" w:ascii="仿宋_GB2312" w:eastAsia="仿宋_GB2312"/>
                <w:szCs w:val="21"/>
                <w:lang w:val="en-US"/>
              </w:rPr>
              <w:t>次，</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1</w:t>
            </w:r>
            <w:r>
              <w:rPr>
                <w:rFonts w:hint="eastAsia" w:ascii="仿宋_GB2312" w:eastAsia="仿宋_GB2312"/>
                <w:szCs w:val="21"/>
                <w:lang w:val="en-US"/>
              </w:rPr>
              <w:t>次，</w:t>
            </w:r>
            <w:r>
              <w:rPr>
                <w:rFonts w:ascii="仿宋_GB2312" w:eastAsia="仿宋_GB2312"/>
                <w:szCs w:val="21"/>
                <w:lang w:val="en-US"/>
              </w:rPr>
              <w:t>1</w:t>
            </w:r>
            <w:r>
              <w:rPr>
                <w:rFonts w:hint="eastAsia" w:ascii="仿宋_GB2312" w:eastAsia="仿宋_GB2312"/>
                <w:szCs w:val="21"/>
                <w:lang w:val="en-US"/>
              </w:rPr>
              <w:t>分；未接受培训不得分。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3</w:t>
            </w:r>
            <w:r>
              <w:rPr>
                <w:rFonts w:hint="eastAsia" w:ascii="仿宋_GB2312" w:eastAsia="仿宋_GB2312"/>
                <w:szCs w:val="21"/>
                <w:lang w:val="en-US"/>
              </w:rPr>
              <w:t>）基层医疗卫生机构每年组织对村卫生室或社区卫生服务站医护人员的培训不少于</w:t>
            </w:r>
            <w:r>
              <w:rPr>
                <w:rFonts w:ascii="仿宋_GB2312" w:eastAsia="仿宋_GB2312"/>
                <w:szCs w:val="21"/>
                <w:lang w:val="en-US"/>
              </w:rPr>
              <w:t>2</w:t>
            </w:r>
            <w:r>
              <w:rPr>
                <w:rFonts w:hint="eastAsia" w:ascii="仿宋_GB2312" w:eastAsia="仿宋_GB2312"/>
                <w:szCs w:val="21"/>
                <w:lang w:val="en-US"/>
              </w:rPr>
              <w:t>次，</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1</w:t>
            </w:r>
            <w:r>
              <w:rPr>
                <w:rFonts w:hint="eastAsia" w:ascii="仿宋_GB2312" w:eastAsia="仿宋_GB2312"/>
                <w:szCs w:val="21"/>
                <w:lang w:val="en-US"/>
              </w:rPr>
              <w:t>次，</w:t>
            </w:r>
            <w:r>
              <w:rPr>
                <w:rFonts w:ascii="仿宋_GB2312" w:eastAsia="仿宋_GB2312"/>
                <w:szCs w:val="21"/>
                <w:lang w:val="en-US"/>
              </w:rPr>
              <w:t>1</w:t>
            </w:r>
            <w:r>
              <w:rPr>
                <w:rFonts w:hint="eastAsia" w:ascii="仿宋_GB2312" w:eastAsia="仿宋_GB2312"/>
                <w:szCs w:val="21"/>
                <w:lang w:val="en-US"/>
              </w:rPr>
              <w:t>分；未接受培训不得分。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6</w:t>
            </w:r>
          </w:p>
        </w:tc>
        <w:tc>
          <w:tcPr>
            <w:tcW w:w="1260" w:type="dxa"/>
            <w:vMerge w:val="continue"/>
            <w:vAlign w:val="center"/>
          </w:tcPr>
          <w:p>
            <w:pPr>
              <w:pStyle w:val="21"/>
              <w:spacing w:before="79"/>
              <w:ind w:left="14"/>
              <w:jc w:val="center"/>
              <w:rPr>
                <w:rFonts w:ascii="仿宋_GB2312" w:eastAsia="仿宋_GB2312"/>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8" w:hRule="atLeast"/>
          <w:jc w:val="center"/>
        </w:trPr>
        <w:tc>
          <w:tcPr>
            <w:tcW w:w="949"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五、健康教育与健康促进</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20</w:t>
            </w:r>
            <w:r>
              <w:rPr>
                <w:rFonts w:hint="eastAsia" w:ascii="仿宋_GB2312" w:eastAsia="仿宋_GB2312"/>
                <w:szCs w:val="21"/>
                <w:lang w:val="en-US"/>
              </w:rPr>
              <w:t>分</w:t>
            </w:r>
            <w:r>
              <w:rPr>
                <w:rFonts w:ascii="仿宋_GB2312" w:eastAsia="仿宋_GB2312"/>
                <w:szCs w:val="21"/>
                <w:lang w:val="en-US"/>
              </w:rPr>
              <w:t>)</w:t>
            </w:r>
          </w:p>
        </w:tc>
        <w:tc>
          <w:tcPr>
            <w:tcW w:w="1267"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（一）通过多种渠道积极开展慢性病防治全民健康教育。</w:t>
            </w:r>
          </w:p>
          <w:p>
            <w:pPr>
              <w:pStyle w:val="21"/>
              <w:spacing w:before="79"/>
              <w:ind w:left="14"/>
              <w:rPr>
                <w:rFonts w:ascii="仿宋_GB2312" w:eastAsia="仿宋_GB2312"/>
                <w:szCs w:val="21"/>
                <w:lang w:val="en-US"/>
              </w:rPr>
            </w:pPr>
            <w:r>
              <w:rPr>
                <w:rFonts w:hint="eastAsia" w:ascii="仿宋_GB2312" w:eastAsia="仿宋_GB2312"/>
                <w:szCs w:val="21"/>
                <w:lang w:val="en-US"/>
              </w:rPr>
              <w:t>）</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6</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1.</w:t>
            </w:r>
            <w:r>
              <w:rPr>
                <w:rFonts w:hint="eastAsia" w:ascii="仿宋_GB2312" w:eastAsia="仿宋_GB2312"/>
                <w:szCs w:val="21"/>
                <w:lang w:val="en-US"/>
              </w:rPr>
              <w:t>广泛开展健康教育，定期传播慢性病防治和健康素养知识和技能。</w:t>
            </w:r>
          </w:p>
        </w:tc>
        <w:tc>
          <w:tcPr>
            <w:tcW w:w="6869" w:type="dxa"/>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）当地社会主流媒体和互联网等新媒体广泛开展慢性病防治和健康教育，每月不少于</w:t>
            </w:r>
            <w:r>
              <w:rPr>
                <w:rFonts w:ascii="仿宋_GB2312" w:eastAsia="仿宋_GB2312"/>
                <w:szCs w:val="21"/>
                <w:lang w:val="en-US"/>
              </w:rPr>
              <w:t>2</w:t>
            </w:r>
            <w:r>
              <w:rPr>
                <w:rFonts w:hint="eastAsia" w:ascii="仿宋_GB2312" w:eastAsia="仿宋_GB2312"/>
                <w:szCs w:val="21"/>
                <w:lang w:val="en-US"/>
              </w:rPr>
              <w:t>次，</w:t>
            </w:r>
            <w:r>
              <w:rPr>
                <w:rFonts w:ascii="仿宋_GB2312" w:eastAsia="仿宋_GB2312"/>
                <w:szCs w:val="21"/>
                <w:lang w:val="en-US"/>
              </w:rPr>
              <w:t>0.5</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）建立医疗机构和医务人员开展健康教育和健康促进的绩效考核机制，</w:t>
            </w:r>
            <w:r>
              <w:rPr>
                <w:rFonts w:ascii="仿宋_GB2312" w:eastAsia="仿宋_GB2312"/>
                <w:szCs w:val="21"/>
                <w:lang w:val="en-US"/>
              </w:rPr>
              <w:t>0.5</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1</w:t>
            </w:r>
          </w:p>
        </w:tc>
        <w:tc>
          <w:tcPr>
            <w:tcW w:w="1260" w:type="dxa"/>
            <w:vMerge w:val="restart"/>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p>
            <w:pPr>
              <w:pStyle w:val="21"/>
              <w:spacing w:before="79"/>
              <w:ind w:left="14"/>
              <w:jc w:val="center"/>
              <w:rPr>
                <w:rFonts w:ascii="仿宋_GB2312" w:eastAsia="仿宋_GB2312"/>
                <w:szCs w:val="21"/>
                <w:lang w:val="en-US"/>
              </w:rPr>
            </w:pPr>
            <w:r>
              <w:rPr>
                <w:rFonts w:hint="eastAsia" w:ascii="仿宋_GB2312" w:eastAsia="仿宋_GB2312"/>
                <w:szCs w:val="21"/>
                <w:lang w:val="en-US"/>
              </w:rPr>
              <w:t>融媒体中心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2.</w:t>
            </w:r>
            <w:r>
              <w:rPr>
                <w:rFonts w:hint="eastAsia" w:ascii="仿宋_GB2312" w:eastAsia="仿宋_GB2312"/>
                <w:szCs w:val="21"/>
                <w:lang w:val="en-US"/>
              </w:rPr>
              <w:t>开展形式多样的健康教育与健康促进活动，扩大传播慢性病防治和慢病健康素养知识和技能的范围。</w:t>
            </w:r>
          </w:p>
        </w:tc>
        <w:tc>
          <w:tcPr>
            <w:tcW w:w="6869" w:type="dxa"/>
          </w:tcPr>
          <w:p>
            <w:pPr>
              <w:pStyle w:val="21"/>
              <w:spacing w:before="79"/>
              <w:ind w:left="14"/>
              <w:rPr>
                <w:rFonts w:ascii="仿宋_GB2312" w:eastAsia="仿宋_GB2312"/>
                <w:spacing w:val="-6"/>
                <w:szCs w:val="21"/>
                <w:lang w:val="en-US"/>
              </w:rPr>
            </w:pPr>
            <w:r>
              <w:rPr>
                <w:rFonts w:hint="eastAsia" w:ascii="仿宋_GB2312" w:eastAsia="仿宋_GB2312"/>
                <w:spacing w:val="-6"/>
                <w:szCs w:val="21"/>
                <w:lang w:val="en-US"/>
              </w:rPr>
              <w:t>辖区每年至少开展</w:t>
            </w:r>
            <w:r>
              <w:rPr>
                <w:rFonts w:ascii="仿宋_GB2312" w:eastAsia="仿宋_GB2312"/>
                <w:spacing w:val="-6"/>
                <w:szCs w:val="21"/>
                <w:lang w:val="en-US"/>
              </w:rPr>
              <w:t>6</w:t>
            </w:r>
            <w:r>
              <w:rPr>
                <w:rFonts w:hint="eastAsia" w:ascii="仿宋_GB2312" w:eastAsia="仿宋_GB2312"/>
                <w:spacing w:val="-6"/>
                <w:szCs w:val="21"/>
                <w:lang w:val="en-US"/>
              </w:rPr>
              <w:t>次围绕全国肿瘤防治宣传周、世界无烟日、全国高血压日、世界卒中日、联合国糖尿病日、世界慢阻肺日等慢性病防治主题宣传日的形式多样的健康教育与健康促进宣传活动，每次</w:t>
            </w:r>
            <w:r>
              <w:rPr>
                <w:rFonts w:ascii="仿宋_GB2312" w:eastAsia="仿宋_GB2312"/>
                <w:spacing w:val="-6"/>
                <w:szCs w:val="21"/>
                <w:lang w:val="en-US"/>
              </w:rPr>
              <w:t>0.5</w:t>
            </w:r>
            <w:r>
              <w:rPr>
                <w:rFonts w:hint="eastAsia" w:ascii="仿宋_GB2312" w:eastAsia="仿宋_GB2312"/>
                <w:spacing w:val="-6"/>
                <w:szCs w:val="21"/>
                <w:lang w:val="en-US"/>
              </w:rPr>
              <w:t>分，共</w:t>
            </w:r>
            <w:r>
              <w:rPr>
                <w:rFonts w:ascii="仿宋_GB2312" w:eastAsia="仿宋_GB2312"/>
                <w:spacing w:val="-6"/>
                <w:szCs w:val="21"/>
                <w:lang w:val="en-US"/>
              </w:rPr>
              <w:t>3</w:t>
            </w:r>
            <w:r>
              <w:rPr>
                <w:rFonts w:hint="eastAsia" w:ascii="仿宋_GB2312" w:eastAsia="仿宋_GB2312"/>
                <w:spacing w:val="-6"/>
                <w:szCs w:val="21"/>
                <w:lang w:val="en-US"/>
              </w:rPr>
              <w:t>分；其余</w:t>
            </w:r>
            <w:r>
              <w:rPr>
                <w:rFonts w:ascii="仿宋_GB2312" w:eastAsia="仿宋_GB2312"/>
                <w:spacing w:val="-6"/>
                <w:szCs w:val="21"/>
                <w:lang w:val="en-US"/>
              </w:rPr>
              <w:t xml:space="preserve">0 </w:t>
            </w:r>
            <w:r>
              <w:rPr>
                <w:rFonts w:hint="eastAsia" w:ascii="仿宋_GB2312" w:eastAsia="仿宋_GB2312"/>
                <w:spacing w:val="-6"/>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3</w:t>
            </w:r>
          </w:p>
        </w:tc>
        <w:tc>
          <w:tcPr>
            <w:tcW w:w="1260" w:type="dxa"/>
            <w:vMerge w:val="continue"/>
            <w:vAlign w:val="center"/>
          </w:tcPr>
          <w:p>
            <w:pPr>
              <w:pStyle w:val="21"/>
              <w:spacing w:before="79"/>
              <w:ind w:left="14"/>
              <w:rPr>
                <w:rFonts w:ascii="仿宋_GB2312" w:eastAsia="仿宋_GB2312"/>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4"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3.</w:t>
            </w:r>
            <w:r>
              <w:rPr>
                <w:rFonts w:hint="eastAsia" w:ascii="仿宋_GB2312" w:eastAsia="仿宋_GB2312"/>
                <w:szCs w:val="21"/>
                <w:lang w:val="en-US"/>
              </w:rPr>
              <w:t>开展幼儿园、中小学校健康行为方式教育。</w:t>
            </w:r>
          </w:p>
        </w:tc>
        <w:tc>
          <w:tcPr>
            <w:tcW w:w="6869" w:type="dxa"/>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）幼儿园、中小学校开设健康教育课覆盖率达</w:t>
            </w:r>
            <w:r>
              <w:rPr>
                <w:rFonts w:ascii="仿宋_GB2312" w:eastAsia="仿宋_GB2312"/>
                <w:szCs w:val="21"/>
                <w:lang w:val="en-US"/>
              </w:rPr>
              <w:t>100%</w:t>
            </w:r>
            <w:r>
              <w:rPr>
                <w:rFonts w:hint="eastAsia" w:ascii="仿宋_GB2312" w:eastAsia="仿宋_GB2312"/>
                <w:szCs w:val="21"/>
                <w:lang w:val="en-US"/>
              </w:rPr>
              <w:t>，</w:t>
            </w:r>
            <w:r>
              <w:rPr>
                <w:rFonts w:ascii="仿宋_GB2312" w:eastAsia="仿宋_GB2312"/>
                <w:szCs w:val="21"/>
                <w:lang w:val="en-US"/>
              </w:rPr>
              <w:t>0.5</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）健康教育课包括营养均衡、口腔保健、健康体重、视力保护、心理健康伤害预防（溺水、烧烫伤）等内容，每学期以班级为单位，课程≥</w:t>
            </w:r>
            <w:r>
              <w:rPr>
                <w:rFonts w:ascii="仿宋_GB2312" w:eastAsia="仿宋_GB2312"/>
                <w:szCs w:val="21"/>
                <w:lang w:val="en-US"/>
              </w:rPr>
              <w:t>6</w:t>
            </w:r>
            <w:r>
              <w:rPr>
                <w:rFonts w:hint="eastAsia" w:ascii="仿宋_GB2312" w:eastAsia="仿宋_GB2312"/>
                <w:szCs w:val="21"/>
                <w:lang w:val="en-US"/>
              </w:rPr>
              <w:t>学时，</w:t>
            </w:r>
            <w:r>
              <w:rPr>
                <w:rFonts w:ascii="仿宋_GB2312" w:eastAsia="仿宋_GB2312"/>
                <w:szCs w:val="21"/>
                <w:lang w:val="en-US"/>
              </w:rPr>
              <w:t xml:space="preserve">0.5 </w:t>
            </w:r>
            <w:r>
              <w:rPr>
                <w:rFonts w:hint="eastAsia" w:ascii="仿宋_GB2312" w:eastAsia="仿宋_GB2312"/>
                <w:szCs w:val="21"/>
                <w:lang w:val="en-US"/>
              </w:rPr>
              <w:t>分；低于</w:t>
            </w:r>
            <w:r>
              <w:rPr>
                <w:rFonts w:ascii="仿宋_GB2312" w:eastAsia="仿宋_GB2312"/>
                <w:szCs w:val="21"/>
                <w:lang w:val="en-US"/>
              </w:rPr>
              <w:t>6</w:t>
            </w:r>
            <w:r>
              <w:rPr>
                <w:rFonts w:hint="eastAsia" w:ascii="仿宋_GB2312" w:eastAsia="仿宋_GB2312"/>
                <w:szCs w:val="21"/>
                <w:lang w:val="en-US"/>
              </w:rPr>
              <w:t>学时</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3</w:t>
            </w:r>
            <w:r>
              <w:rPr>
                <w:rFonts w:hint="eastAsia" w:ascii="仿宋_GB2312" w:eastAsia="仿宋_GB2312"/>
                <w:szCs w:val="21"/>
                <w:lang w:val="en-US"/>
              </w:rPr>
              <w:t>）寄宿制中小学校或</w:t>
            </w:r>
            <w:r>
              <w:rPr>
                <w:rFonts w:ascii="仿宋_GB2312" w:eastAsia="仿宋_GB2312"/>
                <w:szCs w:val="21"/>
                <w:lang w:val="en-US"/>
              </w:rPr>
              <w:t>600</w:t>
            </w:r>
            <w:r>
              <w:rPr>
                <w:rFonts w:hint="eastAsia" w:ascii="仿宋_GB2312" w:eastAsia="仿宋_GB2312"/>
                <w:szCs w:val="21"/>
                <w:lang w:val="en-US"/>
              </w:rPr>
              <w:t>名学生以上的非寄宿制中小学校配备专职卫生专业技术人员、</w:t>
            </w:r>
            <w:r>
              <w:rPr>
                <w:rFonts w:ascii="仿宋_GB2312" w:eastAsia="仿宋_GB2312"/>
                <w:szCs w:val="21"/>
                <w:lang w:val="en-US"/>
              </w:rPr>
              <w:t>600</w:t>
            </w:r>
            <w:r>
              <w:rPr>
                <w:rFonts w:hint="eastAsia" w:ascii="仿宋_GB2312" w:eastAsia="仿宋_GB2312"/>
                <w:szCs w:val="21"/>
                <w:lang w:val="en-US"/>
              </w:rPr>
              <w:t>名学生以下的非寄宿制中小学校配备专兼职保健教师或卫生专业技术人员的比例达到</w:t>
            </w:r>
            <w:r>
              <w:rPr>
                <w:rFonts w:ascii="仿宋_GB2312" w:eastAsia="仿宋_GB2312"/>
                <w:szCs w:val="21"/>
                <w:lang w:val="en-US"/>
              </w:rPr>
              <w:t>70%</w:t>
            </w:r>
            <w:r>
              <w:rPr>
                <w:rFonts w:hint="eastAsia" w:ascii="仿宋_GB2312" w:eastAsia="仿宋_GB2312"/>
                <w:szCs w:val="21"/>
                <w:lang w:val="en-US"/>
              </w:rPr>
              <w:t>，</w:t>
            </w:r>
            <w:r>
              <w:rPr>
                <w:rFonts w:ascii="仿宋_GB2312" w:eastAsia="仿宋_GB2312"/>
                <w:szCs w:val="21"/>
                <w:lang w:val="en-US"/>
              </w:rPr>
              <w:t>0.5</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4</w:t>
            </w:r>
            <w:r>
              <w:rPr>
                <w:rFonts w:hint="eastAsia" w:ascii="仿宋_GB2312" w:eastAsia="仿宋_GB2312"/>
                <w:szCs w:val="21"/>
                <w:lang w:val="en-US"/>
              </w:rPr>
              <w:t>）配备专兼职心理健康工作人员的中小学校比例达到</w:t>
            </w:r>
            <w:r>
              <w:rPr>
                <w:rFonts w:ascii="仿宋_GB2312" w:eastAsia="仿宋_GB2312"/>
                <w:szCs w:val="21"/>
                <w:lang w:val="en-US"/>
              </w:rPr>
              <w:t>80%</w:t>
            </w:r>
            <w:r>
              <w:rPr>
                <w:rFonts w:hint="eastAsia" w:ascii="仿宋_GB2312" w:eastAsia="仿宋_GB2312"/>
                <w:szCs w:val="21"/>
                <w:lang w:val="en-US"/>
              </w:rPr>
              <w:t>，</w:t>
            </w:r>
            <w:r>
              <w:rPr>
                <w:rFonts w:ascii="仿宋_GB2312" w:eastAsia="仿宋_GB2312"/>
                <w:szCs w:val="21"/>
                <w:lang w:val="en-US"/>
              </w:rPr>
              <w:t>0.5</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2</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jc w:val="center"/>
        </w:trPr>
        <w:tc>
          <w:tcPr>
            <w:tcW w:w="949"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五、健康教育与健康促进</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20</w:t>
            </w:r>
            <w:r>
              <w:rPr>
                <w:rFonts w:hint="eastAsia" w:ascii="仿宋_GB2312" w:eastAsia="仿宋_GB2312"/>
                <w:szCs w:val="21"/>
                <w:lang w:val="en-US"/>
              </w:rPr>
              <w:t>分</w:t>
            </w:r>
            <w:r>
              <w:rPr>
                <w:rFonts w:ascii="仿宋_GB2312" w:eastAsia="仿宋_GB2312"/>
                <w:szCs w:val="21"/>
                <w:lang w:val="en-US"/>
              </w:rPr>
              <w:t>)</w:t>
            </w:r>
          </w:p>
        </w:tc>
        <w:tc>
          <w:tcPr>
            <w:tcW w:w="1267" w:type="dxa"/>
            <w:vMerge w:val="restart"/>
          </w:tcPr>
          <w:p>
            <w:pPr>
              <w:pStyle w:val="21"/>
              <w:spacing w:before="79"/>
              <w:ind w:left="14"/>
              <w:rPr>
                <w:rFonts w:ascii="仿宋_GB2312" w:eastAsia="仿宋_GB2312"/>
                <w:szCs w:val="21"/>
                <w:lang w:val="en-US"/>
              </w:rPr>
            </w:pPr>
            <w:r>
              <w:rPr>
                <w:rFonts w:hint="eastAsia" w:ascii="仿宋_GB2312" w:eastAsia="仿宋_GB2312"/>
                <w:szCs w:val="21"/>
                <w:lang w:val="en-US"/>
              </w:rPr>
              <w:t>（二）提高居民重点慢性病核心知识知晓率和居民健康素养水平。（</w:t>
            </w:r>
            <w:r>
              <w:rPr>
                <w:rFonts w:ascii="仿宋_GB2312" w:eastAsia="仿宋_GB2312"/>
                <w:szCs w:val="21"/>
                <w:lang w:val="en-US"/>
              </w:rPr>
              <w:t>9</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1.</w:t>
            </w:r>
            <w:r>
              <w:rPr>
                <w:rFonts w:hint="eastAsia" w:ascii="仿宋_GB2312" w:eastAsia="仿宋_GB2312"/>
                <w:szCs w:val="21"/>
                <w:lang w:val="en-US"/>
              </w:rPr>
              <w:t>提高居民重点慢性病核</w:t>
            </w:r>
          </w:p>
          <w:p>
            <w:pPr>
              <w:pStyle w:val="21"/>
              <w:spacing w:before="79"/>
              <w:ind w:left="14"/>
              <w:rPr>
                <w:rFonts w:ascii="仿宋_GB2312" w:eastAsia="仿宋_GB2312"/>
                <w:szCs w:val="21"/>
                <w:lang w:val="en-US"/>
              </w:rPr>
            </w:pPr>
            <w:r>
              <w:rPr>
                <w:rFonts w:hint="eastAsia" w:ascii="仿宋_GB2312" w:eastAsia="仿宋_GB2312"/>
                <w:szCs w:val="21"/>
                <w:lang w:val="en-US"/>
              </w:rPr>
              <w:t>心知识知晓率。</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居民重点慢性病核心知识知晓率≥</w:t>
            </w:r>
            <w:r>
              <w:rPr>
                <w:rFonts w:ascii="仿宋_GB2312" w:eastAsia="仿宋_GB2312"/>
                <w:szCs w:val="21"/>
                <w:lang w:val="en-US"/>
              </w:rPr>
              <w:t>70%</w:t>
            </w:r>
            <w:r>
              <w:rPr>
                <w:rFonts w:hint="eastAsia" w:ascii="仿宋_GB2312" w:eastAsia="仿宋_GB2312"/>
                <w:szCs w:val="21"/>
                <w:lang w:val="en-US"/>
              </w:rPr>
              <w:t>，</w:t>
            </w:r>
            <w:r>
              <w:rPr>
                <w:rFonts w:ascii="仿宋_GB2312" w:eastAsia="仿宋_GB2312"/>
                <w:szCs w:val="21"/>
                <w:lang w:val="en-US"/>
              </w:rPr>
              <w:t>5</w:t>
            </w:r>
            <w:r>
              <w:rPr>
                <w:rFonts w:hint="eastAsia" w:ascii="仿宋_GB2312" w:eastAsia="仿宋_GB2312"/>
                <w:szCs w:val="21"/>
                <w:lang w:val="en-US"/>
              </w:rPr>
              <w:t>分；</w:t>
            </w:r>
            <w:r>
              <w:rPr>
                <w:rFonts w:ascii="仿宋_GB2312" w:eastAsia="仿宋_GB2312"/>
                <w:szCs w:val="21"/>
                <w:lang w:val="en-US"/>
              </w:rPr>
              <w:t>60-70%</w:t>
            </w: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60%</w:t>
            </w:r>
            <w:r>
              <w:rPr>
                <w:rFonts w:hint="eastAsia" w:ascii="仿宋_GB2312" w:eastAsia="仿宋_GB2312"/>
                <w:szCs w:val="21"/>
                <w:lang w:val="en-US"/>
              </w:rPr>
              <w:t>以下</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5</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2.</w:t>
            </w:r>
            <w:r>
              <w:rPr>
                <w:rFonts w:hint="eastAsia" w:ascii="仿宋_GB2312" w:eastAsia="仿宋_GB2312"/>
                <w:szCs w:val="21"/>
                <w:lang w:val="en-US"/>
              </w:rPr>
              <w:t>提高居民健康素养水平。</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居民健康素养水平≥</w:t>
            </w:r>
            <w:r>
              <w:rPr>
                <w:rFonts w:ascii="仿宋_GB2312" w:eastAsia="仿宋_GB2312"/>
                <w:szCs w:val="21"/>
                <w:lang w:val="en-US"/>
              </w:rPr>
              <w:t>25%</w:t>
            </w:r>
            <w:r>
              <w:rPr>
                <w:rFonts w:hint="eastAsia" w:ascii="仿宋_GB2312" w:eastAsia="仿宋_GB2312"/>
                <w:szCs w:val="21"/>
                <w:lang w:val="en-US"/>
              </w:rPr>
              <w:t>，</w:t>
            </w:r>
            <w:r>
              <w:rPr>
                <w:rFonts w:ascii="仿宋_GB2312" w:eastAsia="仿宋_GB2312"/>
                <w:szCs w:val="21"/>
                <w:lang w:val="en-US"/>
              </w:rPr>
              <w:t>4</w:t>
            </w:r>
            <w:r>
              <w:rPr>
                <w:rFonts w:hint="eastAsia" w:ascii="仿宋_GB2312" w:eastAsia="仿宋_GB2312"/>
                <w:szCs w:val="21"/>
                <w:lang w:val="en-US"/>
              </w:rPr>
              <w:t>分；</w:t>
            </w:r>
            <w:r>
              <w:rPr>
                <w:rFonts w:ascii="仿宋_GB2312" w:eastAsia="仿宋_GB2312"/>
                <w:szCs w:val="21"/>
                <w:lang w:val="en-US"/>
              </w:rPr>
              <w:t>20-25%</w:t>
            </w: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20%</w:t>
            </w:r>
            <w:r>
              <w:rPr>
                <w:rFonts w:hint="eastAsia" w:ascii="仿宋_GB2312" w:eastAsia="仿宋_GB2312"/>
                <w:szCs w:val="21"/>
                <w:lang w:val="en-US"/>
              </w:rPr>
              <w:t>以下不得分。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4</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p>
            <w:pPr>
              <w:pStyle w:val="21"/>
              <w:spacing w:before="79"/>
              <w:ind w:left="14"/>
              <w:jc w:val="center"/>
              <w:rPr>
                <w:rFonts w:ascii="仿宋_GB2312" w:eastAsia="仿宋_GB2312"/>
                <w:szCs w:val="21"/>
                <w:lang w:val="en-US"/>
              </w:rPr>
            </w:pPr>
            <w:r>
              <w:rPr>
                <w:rFonts w:hint="eastAsia" w:ascii="仿宋_GB2312" w:eastAsia="仿宋_GB2312"/>
                <w:szCs w:val="21"/>
                <w:lang w:val="en-US"/>
              </w:rPr>
              <w:t>各职能部门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（三）发挥社会团体和群</w:t>
            </w:r>
            <w:r>
              <w:rPr>
                <w:rFonts w:ascii="仿宋_GB2312" w:eastAsia="仿宋_GB2312"/>
                <w:szCs w:val="21"/>
                <w:lang w:val="en-US"/>
              </w:rPr>
              <w:t xml:space="preserve"> </w:t>
            </w:r>
            <w:r>
              <w:rPr>
                <w:rFonts w:hint="eastAsia" w:ascii="仿宋_GB2312" w:eastAsia="仿宋_GB2312"/>
                <w:szCs w:val="21"/>
                <w:lang w:val="en-US"/>
              </w:rPr>
              <w:t>众组织在慢</w:t>
            </w:r>
            <w:r>
              <w:rPr>
                <w:rFonts w:ascii="仿宋_GB2312" w:eastAsia="仿宋_GB2312"/>
                <w:szCs w:val="21"/>
                <w:lang w:val="en-US"/>
              </w:rPr>
              <w:t xml:space="preserve"> </w:t>
            </w:r>
            <w:r>
              <w:rPr>
                <w:rFonts w:hint="eastAsia" w:ascii="仿宋_GB2312" w:eastAsia="仿宋_GB2312"/>
                <w:szCs w:val="21"/>
                <w:lang w:val="en-US"/>
              </w:rPr>
              <w:t>性病防控中</w:t>
            </w:r>
            <w:r>
              <w:rPr>
                <w:rFonts w:ascii="仿宋_GB2312" w:eastAsia="仿宋_GB2312"/>
                <w:szCs w:val="21"/>
                <w:lang w:val="en-US"/>
              </w:rPr>
              <w:t xml:space="preserve"> </w:t>
            </w:r>
            <w:r>
              <w:rPr>
                <w:rFonts w:hint="eastAsia" w:ascii="仿宋_GB2312" w:eastAsia="仿宋_GB2312"/>
                <w:szCs w:val="21"/>
                <w:lang w:val="en-US"/>
              </w:rPr>
              <w:t>的积极作用。</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5</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1.</w:t>
            </w:r>
            <w:r>
              <w:rPr>
                <w:rFonts w:hint="eastAsia" w:ascii="仿宋_GB2312" w:eastAsia="仿宋_GB2312"/>
                <w:szCs w:val="21"/>
                <w:lang w:val="en-US"/>
              </w:rPr>
              <w:t>辖区开展群众性健身运动。</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）有</w:t>
            </w:r>
            <w:r>
              <w:rPr>
                <w:rFonts w:ascii="仿宋_GB2312" w:eastAsia="仿宋_GB2312"/>
                <w:szCs w:val="21"/>
                <w:lang w:val="en-US"/>
              </w:rPr>
              <w:t>5</w:t>
            </w:r>
            <w:r>
              <w:rPr>
                <w:rFonts w:hint="eastAsia" w:ascii="仿宋_GB2312" w:eastAsia="仿宋_GB2312"/>
                <w:szCs w:val="21"/>
                <w:lang w:val="en-US"/>
              </w:rPr>
              <w:t>个及以上的群众健身团体，</w:t>
            </w:r>
            <w:r>
              <w:rPr>
                <w:rFonts w:ascii="仿宋_GB2312" w:eastAsia="仿宋_GB2312"/>
                <w:szCs w:val="21"/>
                <w:lang w:val="en-US"/>
              </w:rPr>
              <w:t>0.5</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）配有体育指导员和志愿者，</w:t>
            </w:r>
            <w:r>
              <w:rPr>
                <w:rFonts w:ascii="仿宋_GB2312" w:eastAsia="仿宋_GB2312"/>
                <w:szCs w:val="21"/>
                <w:lang w:val="en-US"/>
              </w:rPr>
              <w:t>0.5</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1</w:t>
            </w:r>
          </w:p>
        </w:tc>
        <w:tc>
          <w:tcPr>
            <w:tcW w:w="1260" w:type="dxa"/>
            <w:vMerge w:val="restart"/>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文广旅体局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2.</w:t>
            </w:r>
            <w:r>
              <w:rPr>
                <w:rFonts w:hint="eastAsia" w:ascii="仿宋_GB2312" w:eastAsia="仿宋_GB2312"/>
                <w:szCs w:val="21"/>
                <w:lang w:val="en-US"/>
              </w:rPr>
              <w:t>每年至少开展</w:t>
            </w:r>
            <w:r>
              <w:rPr>
                <w:rFonts w:ascii="仿宋_GB2312" w:eastAsia="仿宋_GB2312"/>
                <w:szCs w:val="21"/>
                <w:lang w:val="en-US"/>
              </w:rPr>
              <w:t>1</w:t>
            </w:r>
            <w:r>
              <w:rPr>
                <w:rFonts w:hint="eastAsia" w:ascii="仿宋_GB2312" w:eastAsia="仿宋_GB2312"/>
                <w:szCs w:val="21"/>
                <w:lang w:val="en-US"/>
              </w:rPr>
              <w:t>次由社</w:t>
            </w:r>
          </w:p>
          <w:p>
            <w:pPr>
              <w:pStyle w:val="21"/>
              <w:spacing w:before="79"/>
              <w:ind w:left="14"/>
              <w:rPr>
                <w:rFonts w:ascii="仿宋_GB2312" w:eastAsia="仿宋_GB2312"/>
                <w:szCs w:val="21"/>
                <w:lang w:val="en-US"/>
              </w:rPr>
            </w:pPr>
            <w:r>
              <w:rPr>
                <w:rFonts w:hint="eastAsia" w:ascii="仿宋_GB2312" w:eastAsia="仿宋_GB2312"/>
                <w:szCs w:val="21"/>
                <w:lang w:val="en-US"/>
              </w:rPr>
              <w:t>会团体组织和参与的集体性健身活动。</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定期开展由社会团体组织、企事业单位承担参与并积极支持的健身活动，每年≥</w:t>
            </w:r>
            <w:r>
              <w:rPr>
                <w:rFonts w:ascii="仿宋_GB2312" w:eastAsia="仿宋_GB2312"/>
                <w:szCs w:val="21"/>
                <w:lang w:val="en-US"/>
              </w:rPr>
              <w:t>1</w:t>
            </w:r>
            <w:r>
              <w:rPr>
                <w:rFonts w:hint="eastAsia" w:ascii="仿宋_GB2312" w:eastAsia="仿宋_GB2312"/>
                <w:szCs w:val="21"/>
                <w:lang w:val="en-US"/>
              </w:rPr>
              <w:t>次，</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1</w:t>
            </w:r>
          </w:p>
        </w:tc>
        <w:tc>
          <w:tcPr>
            <w:tcW w:w="1260" w:type="dxa"/>
            <w:vMerge w:val="continue"/>
            <w:vAlign w:val="center"/>
          </w:tcPr>
          <w:p>
            <w:pPr>
              <w:pStyle w:val="21"/>
              <w:spacing w:before="79"/>
              <w:ind w:left="14"/>
              <w:jc w:val="center"/>
              <w:rPr>
                <w:rFonts w:ascii="仿宋_GB2312" w:eastAsia="仿宋_GB2312"/>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3.</w:t>
            </w:r>
            <w:r>
              <w:rPr>
                <w:rFonts w:hint="eastAsia" w:ascii="仿宋_GB2312" w:eastAsia="仿宋_GB2312"/>
                <w:szCs w:val="21"/>
                <w:lang w:val="en-US"/>
              </w:rPr>
              <w:t>鼓励社区慢性病患者积极参与社区自我健康管理活动。</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有自我健康管理小组并规范开展的社区覆盖率≥</w:t>
            </w:r>
            <w:r>
              <w:rPr>
                <w:rFonts w:ascii="仿宋_GB2312" w:eastAsia="仿宋_GB2312"/>
                <w:szCs w:val="21"/>
                <w:lang w:val="en-US"/>
              </w:rPr>
              <w:t>50%</w:t>
            </w:r>
            <w:r>
              <w:rPr>
                <w:rFonts w:hint="eastAsia" w:ascii="仿宋_GB2312" w:eastAsia="仿宋_GB2312"/>
                <w:szCs w:val="21"/>
                <w:lang w:val="en-US"/>
              </w:rPr>
              <w:t>，</w:t>
            </w:r>
            <w:r>
              <w:rPr>
                <w:rFonts w:ascii="仿宋_GB2312" w:eastAsia="仿宋_GB2312"/>
                <w:szCs w:val="21"/>
                <w:lang w:val="en-US"/>
              </w:rPr>
              <w:t>3</w:t>
            </w:r>
            <w:r>
              <w:rPr>
                <w:rFonts w:hint="eastAsia" w:ascii="仿宋_GB2312" w:eastAsia="仿宋_GB2312"/>
                <w:szCs w:val="21"/>
                <w:lang w:val="en-US"/>
              </w:rPr>
              <w:t>分；</w:t>
            </w:r>
            <w:r>
              <w:rPr>
                <w:rFonts w:ascii="仿宋_GB2312" w:eastAsia="仿宋_GB2312"/>
                <w:szCs w:val="21"/>
                <w:lang w:val="en-US"/>
              </w:rPr>
              <w:t>40-50%</w:t>
            </w:r>
            <w:r>
              <w:rPr>
                <w:rFonts w:hint="eastAsia" w:ascii="仿宋_GB2312" w:eastAsia="仿宋_GB2312"/>
                <w:szCs w:val="21"/>
                <w:lang w:val="en-US"/>
              </w:rPr>
              <w:t>，</w:t>
            </w:r>
            <w:r>
              <w:rPr>
                <w:rFonts w:ascii="仿宋_GB2312" w:eastAsia="仿宋_GB2312"/>
                <w:szCs w:val="21"/>
                <w:lang w:val="en-US"/>
              </w:rPr>
              <w:t xml:space="preserve">2 </w:t>
            </w:r>
            <w:r>
              <w:rPr>
                <w:rFonts w:hint="eastAsia" w:ascii="仿宋_GB2312" w:eastAsia="仿宋_GB2312"/>
                <w:szCs w:val="21"/>
                <w:lang w:val="en-US"/>
              </w:rPr>
              <w:t>分；</w:t>
            </w:r>
            <w:r>
              <w:rPr>
                <w:rFonts w:ascii="仿宋_GB2312" w:eastAsia="仿宋_GB2312"/>
                <w:szCs w:val="21"/>
                <w:lang w:val="en-US"/>
              </w:rPr>
              <w:t>40%</w:t>
            </w:r>
            <w:r>
              <w:rPr>
                <w:rFonts w:hint="eastAsia" w:ascii="仿宋_GB2312" w:eastAsia="仿宋_GB2312"/>
                <w:szCs w:val="21"/>
                <w:lang w:val="en-US"/>
              </w:rPr>
              <w:t>以下</w:t>
            </w:r>
            <w:r>
              <w:rPr>
                <w:rFonts w:ascii="仿宋_GB2312" w:eastAsia="仿宋_GB2312"/>
                <w:szCs w:val="21"/>
                <w:lang w:val="en-US"/>
              </w:rPr>
              <w:t>0</w:t>
            </w:r>
            <w:r>
              <w:rPr>
                <w:rFonts w:hint="eastAsia" w:ascii="仿宋_GB2312" w:eastAsia="仿宋_GB2312"/>
                <w:szCs w:val="21"/>
                <w:lang w:val="en-US"/>
              </w:rPr>
              <w:t>分。不符合技术规范要求或每年参加人数不变者分数减半。</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3</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p>
            <w:pPr>
              <w:pStyle w:val="21"/>
              <w:spacing w:before="79"/>
              <w:ind w:left="14"/>
              <w:jc w:val="center"/>
              <w:rPr>
                <w:rFonts w:ascii="仿宋_GB2312" w:eastAsia="仿宋_GB2312"/>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8" w:hRule="atLeast"/>
          <w:jc w:val="center"/>
        </w:trPr>
        <w:tc>
          <w:tcPr>
            <w:tcW w:w="949"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六、慢性病全程管理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70</w:t>
            </w:r>
            <w:r>
              <w:rPr>
                <w:rFonts w:hint="eastAsia" w:ascii="仿宋_GB2312" w:eastAsia="仿宋_GB2312"/>
                <w:szCs w:val="21"/>
                <w:lang w:val="en-US"/>
              </w:rPr>
              <w:t>分）</w:t>
            </w:r>
          </w:p>
        </w:tc>
        <w:tc>
          <w:tcPr>
            <w:tcW w:w="1267"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（一）规范健康体检，开展高危人群筛查与干预，加强癌症、心脑血管疾病等重大慢性病的早期发现与管理。（</w:t>
            </w:r>
            <w:r>
              <w:rPr>
                <w:rFonts w:ascii="仿宋_GB2312" w:eastAsia="仿宋_GB2312"/>
                <w:szCs w:val="21"/>
                <w:lang w:val="en-US"/>
              </w:rPr>
              <w:t>17</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1.</w:t>
            </w:r>
            <w:r>
              <w:rPr>
                <w:rFonts w:hint="eastAsia" w:ascii="仿宋_GB2312" w:eastAsia="仿宋_GB2312"/>
                <w:szCs w:val="21"/>
                <w:lang w:val="en-US"/>
              </w:rPr>
              <w:t>开展学生、老年人等重点人群和职工定期健康体检和健康指导。</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）学生健康体检率≥</w:t>
            </w:r>
            <w:r>
              <w:rPr>
                <w:rFonts w:ascii="仿宋_GB2312" w:eastAsia="仿宋_GB2312"/>
                <w:szCs w:val="21"/>
                <w:lang w:val="en-US"/>
              </w:rPr>
              <w:t>90%</w:t>
            </w: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80-90%</w:t>
            </w: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分；</w:t>
            </w:r>
            <w:r>
              <w:rPr>
                <w:rFonts w:ascii="仿宋_GB2312" w:eastAsia="仿宋_GB2312"/>
                <w:szCs w:val="21"/>
                <w:lang w:val="en-US"/>
              </w:rPr>
              <w:t>80%</w:t>
            </w:r>
            <w:r>
              <w:rPr>
                <w:rFonts w:hint="eastAsia" w:ascii="仿宋_GB2312" w:eastAsia="仿宋_GB2312"/>
                <w:szCs w:val="21"/>
                <w:lang w:val="en-US"/>
              </w:rPr>
              <w:t>以下</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复审：学校对学生健康体检结果进行分析和反馈覆盖率≥</w:t>
            </w:r>
            <w:r>
              <w:rPr>
                <w:rFonts w:ascii="仿宋_GB2312" w:eastAsia="仿宋_GB2312"/>
                <w:szCs w:val="21"/>
                <w:lang w:val="en-US"/>
              </w:rPr>
              <w:t>50%</w:t>
            </w: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w:t>
            </w:r>
            <w:r>
              <w:rPr>
                <w:rFonts w:ascii="仿宋_GB2312" w:eastAsia="仿宋_GB2312"/>
                <w:szCs w:val="21"/>
                <w:lang w:val="en-US"/>
              </w:rPr>
              <w:t>65</w:t>
            </w:r>
            <w:r>
              <w:rPr>
                <w:rFonts w:hint="eastAsia" w:ascii="仿宋_GB2312" w:eastAsia="仿宋_GB2312"/>
                <w:szCs w:val="21"/>
                <w:lang w:val="en-US"/>
              </w:rPr>
              <w:t>岁及以上老年人健康体检率≥</w:t>
            </w:r>
            <w:r>
              <w:rPr>
                <w:rFonts w:ascii="仿宋_GB2312" w:eastAsia="仿宋_GB2312"/>
                <w:szCs w:val="21"/>
                <w:lang w:val="en-US"/>
              </w:rPr>
              <w:t>90%</w:t>
            </w: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80-90%</w:t>
            </w: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分；</w:t>
            </w:r>
            <w:r>
              <w:rPr>
                <w:rFonts w:ascii="仿宋_GB2312" w:eastAsia="仿宋_GB2312"/>
                <w:szCs w:val="21"/>
                <w:lang w:val="en-US"/>
              </w:rPr>
              <w:t>80%</w:t>
            </w:r>
            <w:r>
              <w:rPr>
                <w:rFonts w:hint="eastAsia" w:ascii="仿宋_GB2312" w:eastAsia="仿宋_GB2312"/>
                <w:szCs w:val="21"/>
                <w:lang w:val="en-US"/>
              </w:rPr>
              <w:t>以下</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3</w:t>
            </w:r>
            <w:r>
              <w:rPr>
                <w:rFonts w:hint="eastAsia" w:ascii="仿宋_GB2312" w:eastAsia="仿宋_GB2312"/>
                <w:szCs w:val="21"/>
                <w:lang w:val="en-US"/>
              </w:rPr>
              <w:t>）每</w:t>
            </w:r>
            <w:r>
              <w:rPr>
                <w:rFonts w:ascii="仿宋_GB2312" w:eastAsia="仿宋_GB2312"/>
                <w:szCs w:val="21"/>
                <w:lang w:val="en-US"/>
              </w:rPr>
              <w:t>2</w:t>
            </w:r>
            <w:r>
              <w:rPr>
                <w:rFonts w:hint="eastAsia" w:ascii="仿宋_GB2312" w:eastAsia="仿宋_GB2312"/>
                <w:szCs w:val="21"/>
                <w:lang w:val="en-US"/>
              </w:rPr>
              <w:t>年</w:t>
            </w:r>
            <w:r>
              <w:rPr>
                <w:rFonts w:ascii="仿宋_GB2312" w:eastAsia="仿宋_GB2312"/>
                <w:szCs w:val="21"/>
                <w:lang w:val="en-US"/>
              </w:rPr>
              <w:t>1</w:t>
            </w:r>
            <w:r>
              <w:rPr>
                <w:rFonts w:hint="eastAsia" w:ascii="仿宋_GB2312" w:eastAsia="仿宋_GB2312"/>
                <w:szCs w:val="21"/>
                <w:lang w:val="en-US"/>
              </w:rPr>
              <w:t>次体检并开展健康指导的机关事业单位和员工数超过</w:t>
            </w:r>
            <w:r>
              <w:rPr>
                <w:rFonts w:ascii="仿宋_GB2312" w:eastAsia="仿宋_GB2312"/>
                <w:szCs w:val="21"/>
                <w:lang w:val="en-US"/>
              </w:rPr>
              <w:t>50</w:t>
            </w:r>
            <w:r>
              <w:rPr>
                <w:rFonts w:hint="eastAsia" w:ascii="仿宋_GB2312" w:eastAsia="仿宋_GB2312"/>
                <w:szCs w:val="21"/>
                <w:lang w:val="en-US"/>
              </w:rPr>
              <w:t>人的</w:t>
            </w:r>
          </w:p>
          <w:p>
            <w:pPr>
              <w:pStyle w:val="21"/>
              <w:spacing w:before="79"/>
              <w:ind w:left="14"/>
              <w:rPr>
                <w:rFonts w:ascii="仿宋_GB2312" w:eastAsia="仿宋_GB2312"/>
                <w:szCs w:val="21"/>
                <w:lang w:val="en-US"/>
              </w:rPr>
            </w:pPr>
            <w:r>
              <w:rPr>
                <w:rFonts w:hint="eastAsia" w:ascii="仿宋_GB2312" w:eastAsia="仿宋_GB2312"/>
                <w:szCs w:val="21"/>
                <w:lang w:val="en-US"/>
              </w:rPr>
              <w:t>企业的覆盖率≥</w:t>
            </w:r>
            <w:r>
              <w:rPr>
                <w:rFonts w:ascii="仿宋_GB2312" w:eastAsia="仿宋_GB2312"/>
                <w:szCs w:val="21"/>
                <w:lang w:val="en-US"/>
              </w:rPr>
              <w:t>50%</w:t>
            </w:r>
            <w:r>
              <w:rPr>
                <w:rFonts w:hint="eastAsia" w:ascii="仿宋_GB2312" w:eastAsia="仿宋_GB2312"/>
                <w:szCs w:val="21"/>
                <w:lang w:val="en-US"/>
              </w:rPr>
              <w:t>，</w:t>
            </w:r>
            <w:r>
              <w:rPr>
                <w:rFonts w:ascii="仿宋_GB2312" w:eastAsia="仿宋_GB2312"/>
                <w:szCs w:val="21"/>
                <w:lang w:val="en-US"/>
              </w:rPr>
              <w:t>3</w:t>
            </w:r>
            <w:r>
              <w:rPr>
                <w:rFonts w:hint="eastAsia" w:ascii="仿宋_GB2312" w:eastAsia="仿宋_GB2312"/>
                <w:szCs w:val="21"/>
                <w:lang w:val="en-US"/>
              </w:rPr>
              <w:t>分；</w:t>
            </w:r>
            <w:r>
              <w:rPr>
                <w:rFonts w:ascii="仿宋_GB2312" w:eastAsia="仿宋_GB2312"/>
                <w:szCs w:val="21"/>
                <w:lang w:val="en-US"/>
              </w:rPr>
              <w:t>40-50%</w:t>
            </w: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40%</w:t>
            </w:r>
            <w:r>
              <w:rPr>
                <w:rFonts w:hint="eastAsia" w:ascii="仿宋_GB2312" w:eastAsia="仿宋_GB2312"/>
                <w:szCs w:val="21"/>
                <w:lang w:val="en-US"/>
              </w:rPr>
              <w:t>以下</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7</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p>
            <w:pPr>
              <w:pStyle w:val="21"/>
              <w:spacing w:before="79"/>
              <w:ind w:left="14"/>
              <w:jc w:val="center"/>
              <w:rPr>
                <w:rFonts w:ascii="仿宋_GB2312" w:eastAsia="仿宋_GB2312"/>
                <w:szCs w:val="21"/>
                <w:lang w:val="en-US"/>
              </w:rPr>
            </w:pPr>
            <w:r>
              <w:rPr>
                <w:rFonts w:hint="eastAsia" w:ascii="仿宋_GB2312" w:eastAsia="仿宋_GB2312"/>
                <w:szCs w:val="21"/>
                <w:lang w:val="en-US"/>
              </w:rPr>
              <w:t>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3"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tcPr>
          <w:p>
            <w:pPr>
              <w:pStyle w:val="21"/>
              <w:spacing w:before="79"/>
              <w:ind w:left="14"/>
              <w:rPr>
                <w:rFonts w:ascii="仿宋_GB2312" w:eastAsia="仿宋_GB2312"/>
                <w:szCs w:val="21"/>
                <w:lang w:val="en-US"/>
              </w:rPr>
            </w:pPr>
          </w:p>
        </w:tc>
        <w:tc>
          <w:tcPr>
            <w:tcW w:w="3228" w:type="dxa"/>
          </w:tcPr>
          <w:p>
            <w:pPr>
              <w:pStyle w:val="21"/>
              <w:spacing w:before="79"/>
              <w:ind w:left="14"/>
              <w:rPr>
                <w:rFonts w:ascii="仿宋_GB2312" w:eastAsia="仿宋_GB2312"/>
                <w:szCs w:val="21"/>
                <w:lang w:val="en-US"/>
              </w:rPr>
            </w:pPr>
            <w:r>
              <w:rPr>
                <w:rFonts w:ascii="仿宋_GB2312" w:eastAsia="仿宋_GB2312"/>
                <w:szCs w:val="21"/>
                <w:lang w:val="en-US"/>
              </w:rPr>
              <w:t>2.</w:t>
            </w:r>
            <w:r>
              <w:rPr>
                <w:rFonts w:hint="eastAsia" w:ascii="仿宋_GB2312" w:eastAsia="仿宋_GB2312"/>
                <w:szCs w:val="21"/>
                <w:lang w:val="en-US"/>
              </w:rPr>
              <w:t>应用推广成熟的适宜技术，早期发现诊治患者，及时纳入基本公共卫生服务管理。</w:t>
            </w:r>
          </w:p>
        </w:tc>
        <w:tc>
          <w:tcPr>
            <w:tcW w:w="6869" w:type="dxa"/>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）医疗机构首诊测血压率达到</w:t>
            </w:r>
            <w:r>
              <w:rPr>
                <w:rFonts w:ascii="仿宋_GB2312" w:eastAsia="仿宋_GB2312"/>
                <w:szCs w:val="21"/>
                <w:lang w:val="en-US"/>
              </w:rPr>
              <w:t>100%</w:t>
            </w: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）开展心脑血管疾病、重点癌症、糖尿病、慢性阻塞性肺病等重大慢性病的筛查和早期诊断，每</w:t>
            </w:r>
            <w:r>
              <w:rPr>
                <w:rFonts w:ascii="仿宋_GB2312" w:eastAsia="仿宋_GB2312"/>
                <w:szCs w:val="21"/>
                <w:lang w:val="en-US"/>
              </w:rPr>
              <w:t>1</w:t>
            </w:r>
            <w:r>
              <w:rPr>
                <w:rFonts w:hint="eastAsia" w:ascii="仿宋_GB2312" w:eastAsia="仿宋_GB2312"/>
                <w:szCs w:val="21"/>
                <w:lang w:val="en-US"/>
              </w:rPr>
              <w:t>项</w:t>
            </w:r>
            <w:r>
              <w:rPr>
                <w:rFonts w:ascii="仿宋_GB2312" w:eastAsia="仿宋_GB2312"/>
                <w:szCs w:val="21"/>
                <w:lang w:val="en-US"/>
              </w:rPr>
              <w:t>1</w:t>
            </w:r>
            <w:r>
              <w:rPr>
                <w:rFonts w:hint="eastAsia" w:ascii="仿宋_GB2312" w:eastAsia="仿宋_GB2312"/>
                <w:szCs w:val="21"/>
                <w:lang w:val="en-US"/>
              </w:rPr>
              <w:t>分，满分</w:t>
            </w:r>
            <w:r>
              <w:rPr>
                <w:rFonts w:ascii="仿宋_GB2312" w:eastAsia="仿宋_GB2312"/>
                <w:szCs w:val="21"/>
                <w:lang w:val="en-US"/>
              </w:rPr>
              <w:t>4</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3</w:t>
            </w:r>
            <w:r>
              <w:rPr>
                <w:rFonts w:hint="eastAsia" w:ascii="仿宋_GB2312" w:eastAsia="仿宋_GB2312"/>
                <w:szCs w:val="21"/>
                <w:lang w:val="en-US"/>
              </w:rPr>
              <w:t>）具备血糖、血脂、简易肺功能测定和大便隐血检测等</w:t>
            </w:r>
            <w:r>
              <w:rPr>
                <w:rFonts w:ascii="仿宋_GB2312" w:eastAsia="仿宋_GB2312"/>
                <w:szCs w:val="21"/>
                <w:lang w:val="en-US"/>
              </w:rPr>
              <w:t>4</w:t>
            </w:r>
            <w:r>
              <w:rPr>
                <w:rFonts w:hint="eastAsia" w:ascii="仿宋_GB2312" w:eastAsia="仿宋_GB2312"/>
                <w:szCs w:val="21"/>
                <w:lang w:val="en-US"/>
              </w:rPr>
              <w:t>种技术并提供服务的社区卫生服务中心和乡镇卫生院的覆盖率≥</w:t>
            </w:r>
            <w:r>
              <w:rPr>
                <w:rFonts w:ascii="仿宋_GB2312" w:eastAsia="仿宋_GB2312"/>
                <w:szCs w:val="21"/>
                <w:lang w:val="en-US"/>
              </w:rPr>
              <w:t>70%</w:t>
            </w: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50-70%</w:t>
            </w:r>
            <w:r>
              <w:rPr>
                <w:rFonts w:hint="eastAsia" w:ascii="仿宋_GB2312" w:eastAsia="仿宋_GB2312"/>
                <w:szCs w:val="21"/>
                <w:lang w:val="en-US"/>
              </w:rPr>
              <w:t>，</w:t>
            </w:r>
            <w:r>
              <w:rPr>
                <w:rFonts w:ascii="仿宋_GB2312" w:eastAsia="仿宋_GB2312"/>
                <w:szCs w:val="21"/>
                <w:lang w:val="en-US"/>
              </w:rPr>
              <w:t xml:space="preserve">1 </w:t>
            </w:r>
            <w:r>
              <w:rPr>
                <w:rFonts w:hint="eastAsia" w:ascii="仿宋_GB2312" w:eastAsia="仿宋_GB2312"/>
                <w:szCs w:val="21"/>
                <w:lang w:val="en-US"/>
              </w:rPr>
              <w:t>分；</w:t>
            </w:r>
            <w:r>
              <w:rPr>
                <w:rFonts w:ascii="仿宋_GB2312" w:eastAsia="仿宋_GB2312"/>
                <w:szCs w:val="21"/>
                <w:lang w:val="en-US"/>
              </w:rPr>
              <w:t>50%</w:t>
            </w:r>
            <w:r>
              <w:rPr>
                <w:rFonts w:hint="eastAsia" w:ascii="仿宋_GB2312" w:eastAsia="仿宋_GB2312"/>
                <w:szCs w:val="21"/>
                <w:lang w:val="en-US"/>
              </w:rPr>
              <w:t>以下</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4</w:t>
            </w:r>
            <w:r>
              <w:rPr>
                <w:rFonts w:hint="eastAsia" w:ascii="仿宋_GB2312" w:eastAsia="仿宋_GB2312"/>
                <w:szCs w:val="21"/>
                <w:lang w:val="en-US"/>
              </w:rPr>
              <w:t>）提高加强个人健康档案与健康体检信息的利用，发现高危人群登记率</w:t>
            </w:r>
            <w:r>
              <w:rPr>
                <w:rFonts w:ascii="仿宋_GB2312" w:eastAsia="仿宋_GB2312"/>
                <w:szCs w:val="21"/>
                <w:lang w:val="en-US"/>
              </w:rPr>
              <w:t>100%</w:t>
            </w: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分；高危人群纳入健康管理率≥</w:t>
            </w:r>
            <w:r>
              <w:rPr>
                <w:rFonts w:ascii="仿宋_GB2312" w:eastAsia="仿宋_GB2312"/>
                <w:szCs w:val="21"/>
                <w:lang w:val="en-US"/>
              </w:rPr>
              <w:t>30%</w:t>
            </w: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10</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0" w:hRule="atLeast"/>
          <w:jc w:val="center"/>
        </w:trPr>
        <w:tc>
          <w:tcPr>
            <w:tcW w:w="949"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六、慢性病全程管理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70</w:t>
            </w:r>
            <w:r>
              <w:rPr>
                <w:rFonts w:hint="eastAsia" w:ascii="仿宋_GB2312" w:eastAsia="仿宋_GB2312"/>
                <w:szCs w:val="21"/>
                <w:lang w:val="en-US"/>
              </w:rPr>
              <w:t>分）</w:t>
            </w:r>
          </w:p>
        </w:tc>
        <w:tc>
          <w:tcPr>
            <w:tcW w:w="1267"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（二）建立分级诊疗制度，</w:t>
            </w:r>
            <w:r>
              <w:rPr>
                <w:rFonts w:ascii="仿宋_GB2312" w:eastAsia="仿宋_GB2312"/>
                <w:szCs w:val="21"/>
                <w:lang w:val="en-US"/>
              </w:rPr>
              <w:t xml:space="preserve"> </w:t>
            </w:r>
            <w:r>
              <w:rPr>
                <w:rFonts w:hint="eastAsia" w:ascii="仿宋_GB2312" w:eastAsia="仿宋_GB2312"/>
                <w:szCs w:val="21"/>
                <w:lang w:val="en-US"/>
              </w:rPr>
              <w:t>推进家庭医生签约服务开展高血压、糖尿病等重点慢性病规范化管理（</w:t>
            </w:r>
            <w:r>
              <w:rPr>
                <w:rFonts w:ascii="仿宋_GB2312" w:eastAsia="仿宋_GB2312"/>
                <w:szCs w:val="21"/>
                <w:lang w:val="en-US"/>
              </w:rPr>
              <w:t xml:space="preserve">20 </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1.</w:t>
            </w:r>
            <w:r>
              <w:rPr>
                <w:rFonts w:hint="eastAsia" w:ascii="仿宋_GB2312" w:eastAsia="仿宋_GB2312"/>
                <w:szCs w:val="21"/>
                <w:lang w:val="en-US"/>
              </w:rPr>
              <w:t>开展基层首诊、双向转诊、急慢分治、上下联动的慢性病分级诊疗服务。</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）建立分级诊疗制度，</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）落实并开展高血压与糖尿病基层首诊、双向转诊、急慢分治、上下联动的分级诊疗服务，基层医疗机构门诊量占比≥</w:t>
            </w:r>
            <w:r>
              <w:rPr>
                <w:rFonts w:ascii="仿宋_GB2312" w:eastAsia="仿宋_GB2312"/>
                <w:szCs w:val="21"/>
                <w:lang w:val="en-US"/>
              </w:rPr>
              <w:t>50%</w:t>
            </w: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3</w:t>
            </w:r>
            <w:r>
              <w:rPr>
                <w:rFonts w:hint="eastAsia" w:ascii="仿宋_GB2312" w:eastAsia="仿宋_GB2312"/>
                <w:szCs w:val="21"/>
                <w:lang w:val="en-US"/>
              </w:rPr>
              <w:t>）依托信息平台实现分级诊疗，</w:t>
            </w:r>
            <w:r>
              <w:rPr>
                <w:rFonts w:ascii="仿宋_GB2312" w:eastAsia="仿宋_GB2312"/>
                <w:szCs w:val="21"/>
                <w:lang w:val="en-US"/>
              </w:rPr>
              <w:t>2</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5</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8"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2.</w:t>
            </w:r>
            <w:r>
              <w:rPr>
                <w:rFonts w:hint="eastAsia" w:ascii="仿宋_GB2312" w:eastAsia="仿宋_GB2312"/>
                <w:szCs w:val="21"/>
                <w:lang w:val="en-US"/>
              </w:rPr>
              <w:t>推进家庭医生签约服</w:t>
            </w:r>
          </w:p>
          <w:p>
            <w:pPr>
              <w:pStyle w:val="21"/>
              <w:spacing w:before="79"/>
              <w:ind w:left="14"/>
              <w:rPr>
                <w:rFonts w:ascii="仿宋_GB2312" w:eastAsia="仿宋_GB2312"/>
                <w:szCs w:val="21"/>
                <w:lang w:val="en-US"/>
              </w:rPr>
            </w:pPr>
            <w:r>
              <w:rPr>
                <w:rFonts w:hint="eastAsia" w:ascii="仿宋_GB2312" w:eastAsia="仿宋_GB2312"/>
                <w:szCs w:val="21"/>
                <w:lang w:val="en-US"/>
              </w:rPr>
              <w:t>务，签约团队负责提供约定的基本医疗、公共卫生和健康管理服务。</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家庭医生签约服务覆盖率高于本省平均水平</w:t>
            </w:r>
            <w:r>
              <w:rPr>
                <w:rFonts w:ascii="仿宋_GB2312" w:eastAsia="仿宋_GB2312"/>
                <w:szCs w:val="21"/>
                <w:lang w:val="en-US"/>
              </w:rPr>
              <w:t>30%</w:t>
            </w:r>
            <w:r>
              <w:rPr>
                <w:rFonts w:hint="eastAsia" w:ascii="仿宋_GB2312" w:eastAsia="仿宋_GB2312"/>
                <w:szCs w:val="21"/>
                <w:lang w:val="en-US"/>
              </w:rPr>
              <w:t>及以上，</w:t>
            </w:r>
            <w:r>
              <w:rPr>
                <w:rFonts w:ascii="仿宋_GB2312" w:eastAsia="仿宋_GB2312"/>
                <w:szCs w:val="21"/>
                <w:lang w:val="en-US"/>
              </w:rPr>
              <w:t>3</w:t>
            </w:r>
            <w:r>
              <w:rPr>
                <w:rFonts w:hint="eastAsia" w:ascii="仿宋_GB2312" w:eastAsia="仿宋_GB2312"/>
                <w:szCs w:val="21"/>
                <w:lang w:val="en-US"/>
              </w:rPr>
              <w:t>分；</w:t>
            </w:r>
            <w:r>
              <w:rPr>
                <w:rFonts w:ascii="仿宋_GB2312" w:eastAsia="仿宋_GB2312"/>
                <w:szCs w:val="21"/>
                <w:lang w:val="en-US"/>
              </w:rPr>
              <w:t>25-30%</w:t>
            </w: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ascii="仿宋_GB2312" w:eastAsia="仿宋_GB2312"/>
                <w:szCs w:val="21"/>
                <w:lang w:val="en-US"/>
              </w:rPr>
              <w:t>25%</w:t>
            </w:r>
            <w:r>
              <w:rPr>
                <w:rFonts w:hint="eastAsia" w:ascii="仿宋_GB2312" w:eastAsia="仿宋_GB2312"/>
                <w:szCs w:val="21"/>
                <w:lang w:val="en-US"/>
              </w:rPr>
              <w:t>以下</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3</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3.</w:t>
            </w:r>
            <w:r>
              <w:rPr>
                <w:rFonts w:hint="eastAsia" w:ascii="仿宋_GB2312" w:eastAsia="仿宋_GB2312"/>
                <w:szCs w:val="21"/>
                <w:lang w:val="en-US"/>
              </w:rPr>
              <w:t>提高人群高血压、糖尿病知晓率。</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w:t>
            </w:r>
            <w:r>
              <w:rPr>
                <w:rFonts w:ascii="仿宋_GB2312" w:eastAsia="仿宋_GB2312"/>
                <w:szCs w:val="21"/>
                <w:lang w:val="en-US"/>
              </w:rPr>
              <w:t>30</w:t>
            </w:r>
            <w:r>
              <w:rPr>
                <w:rFonts w:hint="eastAsia" w:ascii="仿宋_GB2312" w:eastAsia="仿宋_GB2312"/>
                <w:szCs w:val="21"/>
                <w:lang w:val="en-US"/>
              </w:rPr>
              <w:t>岁以上高血压知晓率≥</w:t>
            </w:r>
            <w:r>
              <w:rPr>
                <w:rFonts w:ascii="仿宋_GB2312" w:eastAsia="仿宋_GB2312"/>
                <w:szCs w:val="21"/>
                <w:lang w:val="en-US"/>
              </w:rPr>
              <w:t>60%</w:t>
            </w: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55-60%</w:t>
            </w: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分；</w:t>
            </w:r>
            <w:r>
              <w:rPr>
                <w:rFonts w:ascii="仿宋_GB2312" w:eastAsia="仿宋_GB2312"/>
                <w:szCs w:val="21"/>
                <w:lang w:val="en-US"/>
              </w:rPr>
              <w:t>55%</w:t>
            </w:r>
            <w:r>
              <w:rPr>
                <w:rFonts w:hint="eastAsia" w:ascii="仿宋_GB2312" w:eastAsia="仿宋_GB2312"/>
                <w:szCs w:val="21"/>
                <w:lang w:val="en-US"/>
              </w:rPr>
              <w:t>以下</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w:t>
            </w:r>
            <w:r>
              <w:rPr>
                <w:rFonts w:ascii="仿宋_GB2312" w:eastAsia="仿宋_GB2312"/>
                <w:szCs w:val="21"/>
                <w:lang w:val="en-US"/>
              </w:rPr>
              <w:t>18</w:t>
            </w:r>
            <w:r>
              <w:rPr>
                <w:rFonts w:hint="eastAsia" w:ascii="仿宋_GB2312" w:eastAsia="仿宋_GB2312"/>
                <w:szCs w:val="21"/>
                <w:lang w:val="en-US"/>
              </w:rPr>
              <w:t>岁以上糖尿病知晓率≥</w:t>
            </w:r>
            <w:r>
              <w:rPr>
                <w:rFonts w:ascii="仿宋_GB2312" w:eastAsia="仿宋_GB2312"/>
                <w:szCs w:val="21"/>
                <w:lang w:val="en-US"/>
              </w:rPr>
              <w:t>55%</w:t>
            </w: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50-55</w:t>
            </w: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分；</w:t>
            </w:r>
            <w:r>
              <w:rPr>
                <w:rFonts w:ascii="仿宋_GB2312" w:eastAsia="仿宋_GB2312"/>
                <w:szCs w:val="21"/>
                <w:lang w:val="en-US"/>
              </w:rPr>
              <w:t>50%</w:t>
            </w:r>
            <w:r>
              <w:rPr>
                <w:rFonts w:hint="eastAsia" w:ascii="仿宋_GB2312" w:eastAsia="仿宋_GB2312"/>
                <w:szCs w:val="21"/>
                <w:lang w:val="en-US"/>
              </w:rPr>
              <w:t>以下</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4</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p>
            <w:pPr>
              <w:pStyle w:val="21"/>
              <w:spacing w:before="79"/>
              <w:ind w:left="14"/>
              <w:jc w:val="center"/>
              <w:rPr>
                <w:rFonts w:ascii="仿宋_GB2312" w:eastAsia="仿宋_GB2312"/>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8"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4.</w:t>
            </w:r>
            <w:r>
              <w:rPr>
                <w:rFonts w:hint="eastAsia" w:ascii="仿宋_GB2312" w:eastAsia="仿宋_GB2312"/>
                <w:szCs w:val="21"/>
                <w:lang w:val="en-US"/>
              </w:rPr>
              <w:t>提高高血压、糖尿病患者规范管理率。</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w:t>
            </w:r>
            <w:r>
              <w:rPr>
                <w:rFonts w:ascii="仿宋_GB2312" w:eastAsia="仿宋_GB2312"/>
                <w:szCs w:val="21"/>
                <w:lang w:val="en-US"/>
              </w:rPr>
              <w:t>35</w:t>
            </w:r>
            <w:r>
              <w:rPr>
                <w:rFonts w:hint="eastAsia" w:ascii="仿宋_GB2312" w:eastAsia="仿宋_GB2312"/>
                <w:szCs w:val="21"/>
                <w:lang w:val="en-US"/>
              </w:rPr>
              <w:t>岁以上高血压患者规范管理率达到</w:t>
            </w:r>
            <w:r>
              <w:rPr>
                <w:rFonts w:ascii="仿宋_GB2312" w:eastAsia="仿宋_GB2312"/>
                <w:szCs w:val="21"/>
                <w:lang w:val="en-US"/>
              </w:rPr>
              <w:t>70%</w:t>
            </w: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60%-70%</w:t>
            </w: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分；</w:t>
            </w:r>
            <w:r>
              <w:rPr>
                <w:rFonts w:ascii="仿宋_GB2312" w:eastAsia="仿宋_GB2312"/>
                <w:szCs w:val="21"/>
                <w:lang w:val="en-US"/>
              </w:rPr>
              <w:t>60%</w:t>
            </w:r>
            <w:r>
              <w:rPr>
                <w:rFonts w:hint="eastAsia" w:ascii="仿宋_GB2312" w:eastAsia="仿宋_GB2312"/>
                <w:szCs w:val="21"/>
                <w:lang w:val="en-US"/>
              </w:rPr>
              <w:t>以下不得分。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w:t>
            </w:r>
            <w:r>
              <w:rPr>
                <w:rFonts w:ascii="仿宋_GB2312" w:eastAsia="仿宋_GB2312"/>
                <w:szCs w:val="21"/>
                <w:lang w:val="en-US"/>
              </w:rPr>
              <w:t>35</w:t>
            </w:r>
            <w:r>
              <w:rPr>
                <w:rFonts w:hint="eastAsia" w:ascii="仿宋_GB2312" w:eastAsia="仿宋_GB2312"/>
                <w:szCs w:val="21"/>
                <w:lang w:val="en-US"/>
              </w:rPr>
              <w:t>岁以上糖尿病患者规范管理率达到</w:t>
            </w:r>
            <w:r>
              <w:rPr>
                <w:rFonts w:ascii="仿宋_GB2312" w:eastAsia="仿宋_GB2312"/>
                <w:szCs w:val="21"/>
                <w:lang w:val="en-US"/>
              </w:rPr>
              <w:t>70%</w:t>
            </w: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60%-70%</w:t>
            </w: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分；</w:t>
            </w:r>
            <w:r>
              <w:rPr>
                <w:rFonts w:ascii="仿宋_GB2312" w:eastAsia="仿宋_GB2312"/>
                <w:szCs w:val="21"/>
                <w:lang w:val="en-US"/>
              </w:rPr>
              <w:t>60%</w:t>
            </w:r>
            <w:r>
              <w:rPr>
                <w:rFonts w:hint="eastAsia" w:ascii="仿宋_GB2312" w:eastAsia="仿宋_GB2312"/>
                <w:szCs w:val="21"/>
                <w:lang w:val="en-US"/>
              </w:rPr>
              <w:t>以下不得分。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4</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5.</w:t>
            </w:r>
            <w:r>
              <w:rPr>
                <w:rFonts w:hint="eastAsia" w:ascii="仿宋_GB2312" w:eastAsia="仿宋_GB2312"/>
                <w:szCs w:val="21"/>
                <w:lang w:val="en-US"/>
              </w:rPr>
              <w:t>提高管理人群高血压</w:t>
            </w:r>
          </w:p>
          <w:p>
            <w:pPr>
              <w:pStyle w:val="21"/>
              <w:spacing w:before="79"/>
              <w:ind w:left="14"/>
              <w:rPr>
                <w:rFonts w:ascii="仿宋_GB2312" w:eastAsia="仿宋_GB2312"/>
                <w:szCs w:val="21"/>
                <w:lang w:val="en-US"/>
              </w:rPr>
            </w:pPr>
            <w:r>
              <w:rPr>
                <w:rFonts w:hint="eastAsia" w:ascii="仿宋_GB2312" w:eastAsia="仿宋_GB2312"/>
                <w:szCs w:val="21"/>
                <w:lang w:val="en-US"/>
              </w:rPr>
              <w:t>糖尿病患者的控制率。</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）高血压患者血压控制率高于全省平均水平</w:t>
            </w:r>
            <w:r>
              <w:rPr>
                <w:rFonts w:ascii="仿宋_GB2312" w:eastAsia="仿宋_GB2312"/>
                <w:szCs w:val="21"/>
                <w:lang w:val="en-US"/>
              </w:rPr>
              <w:t>5%</w:t>
            </w:r>
            <w:r>
              <w:rPr>
                <w:rFonts w:hint="eastAsia" w:ascii="仿宋_GB2312" w:eastAsia="仿宋_GB2312"/>
                <w:szCs w:val="21"/>
                <w:lang w:val="en-US"/>
              </w:rPr>
              <w:t>及以上，</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3-5%</w:t>
            </w: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分</w:t>
            </w:r>
            <w:r>
              <w:rPr>
                <w:rFonts w:ascii="仿宋_GB2312" w:eastAsia="仿宋_GB2312"/>
                <w:szCs w:val="21"/>
                <w:lang w:val="en-US"/>
              </w:rPr>
              <w:t>3%</w:t>
            </w:r>
            <w:r>
              <w:rPr>
                <w:rFonts w:hint="eastAsia" w:ascii="仿宋_GB2312" w:eastAsia="仿宋_GB2312"/>
                <w:szCs w:val="21"/>
                <w:lang w:val="en-US"/>
              </w:rPr>
              <w:t>以下</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）糖尿病患者血糖控制率高于全省平均水平</w:t>
            </w:r>
            <w:r>
              <w:rPr>
                <w:rFonts w:ascii="仿宋_GB2312" w:eastAsia="仿宋_GB2312"/>
                <w:szCs w:val="21"/>
                <w:lang w:val="en-US"/>
              </w:rPr>
              <w:t>5%</w:t>
            </w:r>
            <w:r>
              <w:rPr>
                <w:rFonts w:hint="eastAsia" w:ascii="仿宋_GB2312" w:eastAsia="仿宋_GB2312"/>
                <w:szCs w:val="21"/>
                <w:lang w:val="en-US"/>
              </w:rPr>
              <w:t>及以上，</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3-5%</w:t>
            </w: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分</w:t>
            </w:r>
            <w:r>
              <w:rPr>
                <w:rFonts w:ascii="仿宋_GB2312" w:eastAsia="仿宋_GB2312"/>
                <w:szCs w:val="21"/>
                <w:lang w:val="en-US"/>
              </w:rPr>
              <w:t>3%</w:t>
            </w:r>
            <w:r>
              <w:rPr>
                <w:rFonts w:hint="eastAsia" w:ascii="仿宋_GB2312" w:eastAsia="仿宋_GB2312"/>
                <w:szCs w:val="21"/>
                <w:lang w:val="en-US"/>
              </w:rPr>
              <w:t>以下</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4</w:t>
            </w:r>
          </w:p>
          <w:p>
            <w:pPr>
              <w:pStyle w:val="21"/>
              <w:spacing w:before="79"/>
              <w:ind w:left="14"/>
              <w:jc w:val="center"/>
              <w:rPr>
                <w:rFonts w:ascii="仿宋_GB2312" w:eastAsia="仿宋_GB2312"/>
                <w:szCs w:val="21"/>
                <w:lang w:val="en-US"/>
              </w:rPr>
            </w:pP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4"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（三）完善区域信息平台，实现医疗卫生机构间互联互通、信息共享。（</w:t>
            </w:r>
            <w:r>
              <w:rPr>
                <w:rFonts w:ascii="仿宋_GB2312" w:eastAsia="仿宋_GB2312"/>
                <w:szCs w:val="21"/>
                <w:lang w:val="en-US"/>
              </w:rPr>
              <w:t>15</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1.</w:t>
            </w:r>
            <w:r>
              <w:rPr>
                <w:rFonts w:hint="eastAsia" w:ascii="仿宋_GB2312" w:eastAsia="仿宋_GB2312"/>
                <w:szCs w:val="21"/>
                <w:lang w:val="en-US"/>
              </w:rPr>
              <w:t>建立区域卫生信息平</w:t>
            </w:r>
          </w:p>
          <w:p>
            <w:pPr>
              <w:pStyle w:val="21"/>
              <w:spacing w:before="79"/>
              <w:ind w:left="14"/>
              <w:rPr>
                <w:rFonts w:ascii="仿宋_GB2312" w:eastAsia="仿宋_GB2312"/>
                <w:szCs w:val="21"/>
                <w:lang w:val="en-US"/>
              </w:rPr>
            </w:pPr>
            <w:r>
              <w:rPr>
                <w:rFonts w:hint="eastAsia" w:ascii="仿宋_GB2312" w:eastAsia="仿宋_GB2312"/>
                <w:szCs w:val="21"/>
                <w:lang w:val="en-US"/>
              </w:rPr>
              <w:t>台，实现公共卫生服务、诊疗信息互联互通。</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）建立区域卫生健康信息平台，</w:t>
            </w:r>
            <w:r>
              <w:rPr>
                <w:rFonts w:ascii="仿宋_GB2312" w:eastAsia="仿宋_GB2312"/>
                <w:szCs w:val="21"/>
                <w:lang w:val="en-US"/>
              </w:rPr>
              <w:t>4</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）专业公共卫生机构、二级及以上医院和基层医疗卫生机构之间实现互联互通和信息共享，</w:t>
            </w:r>
            <w:r>
              <w:rPr>
                <w:rFonts w:ascii="仿宋_GB2312" w:eastAsia="仿宋_GB2312"/>
                <w:szCs w:val="21"/>
                <w:lang w:val="en-US"/>
              </w:rPr>
              <w:t>3</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3</w:t>
            </w:r>
            <w:r>
              <w:rPr>
                <w:rFonts w:hint="eastAsia" w:ascii="仿宋_GB2312" w:eastAsia="仿宋_GB2312"/>
                <w:szCs w:val="21"/>
                <w:lang w:val="en-US"/>
              </w:rPr>
              <w:t>）实现电子健康档案和电子病历的连续记录和信息共享，</w:t>
            </w:r>
            <w:r>
              <w:rPr>
                <w:rFonts w:ascii="仿宋_GB2312" w:eastAsia="仿宋_GB2312"/>
                <w:szCs w:val="21"/>
                <w:lang w:val="en-US"/>
              </w:rPr>
              <w:t>3</w:t>
            </w:r>
            <w:r>
              <w:rPr>
                <w:rFonts w:hint="eastAsia" w:ascii="仿宋_GB2312" w:eastAsia="仿宋_GB2312"/>
                <w:szCs w:val="21"/>
                <w:lang w:val="en-US"/>
              </w:rPr>
              <w:t>分；其余</w:t>
            </w:r>
            <w:r>
              <w:rPr>
                <w:rFonts w:ascii="仿宋_GB2312" w:eastAsia="仿宋_GB2312"/>
                <w:szCs w:val="21"/>
                <w:lang w:val="en-US"/>
              </w:rPr>
              <w:t xml:space="preserve"> 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10</w:t>
            </w:r>
          </w:p>
          <w:p>
            <w:pPr>
              <w:pStyle w:val="21"/>
              <w:spacing w:before="79"/>
              <w:ind w:left="14"/>
              <w:jc w:val="center"/>
              <w:rPr>
                <w:rFonts w:ascii="仿宋_GB2312" w:eastAsia="仿宋_GB2312"/>
                <w:szCs w:val="21"/>
                <w:lang w:val="en-US"/>
              </w:rPr>
            </w:pP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2.</w:t>
            </w:r>
            <w:r>
              <w:rPr>
                <w:rFonts w:hint="eastAsia" w:ascii="仿宋_GB2312" w:eastAsia="仿宋_GB2312"/>
                <w:szCs w:val="21"/>
                <w:lang w:val="en-US"/>
              </w:rPr>
              <w:t>应用互联网</w:t>
            </w:r>
            <w:r>
              <w:rPr>
                <w:rFonts w:ascii="仿宋_GB2312" w:eastAsia="仿宋_GB2312"/>
                <w:szCs w:val="21"/>
                <w:lang w:val="en-US"/>
              </w:rPr>
              <w:t>+</w:t>
            </w:r>
            <w:r>
              <w:rPr>
                <w:rFonts w:hint="eastAsia" w:ascii="仿宋_GB2312" w:eastAsia="仿宋_GB2312"/>
                <w:szCs w:val="21"/>
                <w:lang w:val="en-US"/>
              </w:rPr>
              <w:t>、健康大数据提供便捷、高效的健康管理服务。</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）应用互联网</w:t>
            </w:r>
            <w:r>
              <w:rPr>
                <w:rFonts w:ascii="仿宋_GB2312" w:eastAsia="仿宋_GB2312"/>
                <w:szCs w:val="21"/>
                <w:lang w:val="en-US"/>
              </w:rPr>
              <w:t>+</w:t>
            </w:r>
            <w:r>
              <w:rPr>
                <w:rFonts w:hint="eastAsia" w:ascii="仿宋_GB2312" w:eastAsia="仿宋_GB2312"/>
                <w:szCs w:val="21"/>
                <w:lang w:val="en-US"/>
              </w:rPr>
              <w:t>技术为签约服务的患者提供健康管理和诊疗服务，</w:t>
            </w:r>
            <w:r>
              <w:rPr>
                <w:rFonts w:ascii="仿宋_GB2312" w:eastAsia="仿宋_GB2312"/>
                <w:szCs w:val="21"/>
                <w:lang w:val="en-US"/>
              </w:rPr>
              <w:t>3</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）应用大数据为签约服务患者提供健康管理和诊疗服务，</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5</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5" w:hRule="atLeast"/>
          <w:jc w:val="center"/>
        </w:trPr>
        <w:tc>
          <w:tcPr>
            <w:tcW w:w="949"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六、慢性病全程管理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70</w:t>
            </w:r>
            <w:r>
              <w:rPr>
                <w:rFonts w:hint="eastAsia" w:ascii="仿宋_GB2312" w:eastAsia="仿宋_GB2312"/>
                <w:szCs w:val="21"/>
                <w:lang w:val="en-US"/>
              </w:rPr>
              <w:t>分）</w:t>
            </w:r>
          </w:p>
        </w:tc>
        <w:tc>
          <w:tcPr>
            <w:tcW w:w="1267"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中西医并重，发挥中医药在慢性病预防、保健、诊疗、康复中的作用。</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7</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1.</w:t>
            </w:r>
            <w:r>
              <w:rPr>
                <w:rFonts w:hint="eastAsia" w:ascii="仿宋_GB2312" w:eastAsia="仿宋_GB2312"/>
                <w:szCs w:val="21"/>
                <w:lang w:val="en-US"/>
              </w:rPr>
              <w:t>辖区各社区卫生服务中心、乡镇卫生院有中医综合服务区。</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）乡镇卫生院</w:t>
            </w:r>
            <w:r>
              <w:rPr>
                <w:rFonts w:ascii="仿宋_GB2312" w:eastAsia="仿宋_GB2312"/>
                <w:szCs w:val="21"/>
                <w:lang w:val="en-US"/>
              </w:rPr>
              <w:t>/</w:t>
            </w:r>
            <w:r>
              <w:rPr>
                <w:rFonts w:hint="eastAsia" w:ascii="仿宋_GB2312" w:eastAsia="仿宋_GB2312"/>
                <w:szCs w:val="21"/>
                <w:lang w:val="en-US"/>
              </w:rPr>
              <w:t>社区卫生服务中心提供</w:t>
            </w:r>
            <w:r>
              <w:rPr>
                <w:rFonts w:ascii="仿宋_GB2312" w:eastAsia="仿宋_GB2312"/>
                <w:szCs w:val="21"/>
                <w:lang w:val="en-US"/>
              </w:rPr>
              <w:t>6</w:t>
            </w:r>
            <w:r>
              <w:rPr>
                <w:rFonts w:hint="eastAsia" w:ascii="仿宋_GB2312" w:eastAsia="仿宋_GB2312"/>
                <w:szCs w:val="21"/>
                <w:lang w:val="en-US"/>
              </w:rPr>
              <w:t>类以上中医非药物疗法的比例达到</w:t>
            </w:r>
            <w:r>
              <w:rPr>
                <w:rFonts w:ascii="仿宋_GB2312" w:eastAsia="仿宋_GB2312"/>
                <w:szCs w:val="21"/>
                <w:lang w:val="en-US"/>
              </w:rPr>
              <w:t>100%</w:t>
            </w: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）社区卫生服务站</w:t>
            </w:r>
            <w:r>
              <w:rPr>
                <w:rFonts w:ascii="仿宋_GB2312" w:eastAsia="仿宋_GB2312"/>
                <w:szCs w:val="21"/>
                <w:lang w:val="en-US"/>
              </w:rPr>
              <w:t>/</w:t>
            </w:r>
            <w:r>
              <w:rPr>
                <w:rFonts w:hint="eastAsia" w:ascii="仿宋_GB2312" w:eastAsia="仿宋_GB2312"/>
                <w:szCs w:val="21"/>
                <w:lang w:val="en-US"/>
              </w:rPr>
              <w:t>村卫生室提供</w:t>
            </w:r>
            <w:r>
              <w:rPr>
                <w:rFonts w:ascii="仿宋_GB2312" w:eastAsia="仿宋_GB2312"/>
                <w:szCs w:val="21"/>
                <w:lang w:val="en-US"/>
              </w:rPr>
              <w:t>4</w:t>
            </w:r>
            <w:r>
              <w:rPr>
                <w:rFonts w:hint="eastAsia" w:ascii="仿宋_GB2312" w:eastAsia="仿宋_GB2312"/>
                <w:szCs w:val="21"/>
                <w:lang w:val="en-US"/>
              </w:rPr>
              <w:t>类以上中医非药物疗法的比例达到</w:t>
            </w:r>
          </w:p>
          <w:p>
            <w:pPr>
              <w:pStyle w:val="21"/>
              <w:spacing w:before="79"/>
              <w:ind w:left="14"/>
              <w:rPr>
                <w:rFonts w:ascii="仿宋_GB2312" w:eastAsia="仿宋_GB2312"/>
                <w:szCs w:val="21"/>
                <w:lang w:val="en-US"/>
              </w:rPr>
            </w:pPr>
            <w:r>
              <w:rPr>
                <w:rFonts w:ascii="仿宋_GB2312" w:eastAsia="仿宋_GB2312"/>
                <w:szCs w:val="21"/>
                <w:lang w:val="en-US"/>
              </w:rPr>
              <w:t>70%</w:t>
            </w: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分；</w:t>
            </w:r>
            <w:r>
              <w:rPr>
                <w:rFonts w:ascii="仿宋_GB2312" w:eastAsia="仿宋_GB2312"/>
                <w:szCs w:val="21"/>
                <w:lang w:val="en-US"/>
              </w:rPr>
              <w:t>70%</w:t>
            </w:r>
            <w:r>
              <w:rPr>
                <w:rFonts w:hint="eastAsia" w:ascii="仿宋_GB2312" w:eastAsia="仿宋_GB2312"/>
                <w:szCs w:val="21"/>
                <w:lang w:val="en-US"/>
              </w:rPr>
              <w:t>以下不得分。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4</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7" w:hRule="atLeast"/>
          <w:jc w:val="center"/>
        </w:trPr>
        <w:tc>
          <w:tcPr>
            <w:tcW w:w="949" w:type="dxa"/>
            <w:vMerge w:val="continue"/>
          </w:tcPr>
          <w:p>
            <w:pPr>
              <w:pStyle w:val="21"/>
              <w:spacing w:before="79"/>
              <w:ind w:left="14"/>
              <w:rPr>
                <w:rFonts w:ascii="仿宋_GB2312" w:eastAsia="仿宋_GB2312"/>
                <w:szCs w:val="21"/>
                <w:lang w:val="en-US"/>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2.</w:t>
            </w:r>
            <w:r>
              <w:rPr>
                <w:rFonts w:hint="eastAsia" w:ascii="仿宋_GB2312" w:eastAsia="仿宋_GB2312"/>
                <w:szCs w:val="21"/>
                <w:lang w:val="en-US"/>
              </w:rPr>
              <w:t>开展中医药养生保健知识的宣传及中医适宜技术推广。</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）宣传中医药养生保健知识，</w:t>
            </w:r>
            <w:r>
              <w:rPr>
                <w:rFonts w:ascii="仿宋_GB2312" w:eastAsia="仿宋_GB2312"/>
                <w:szCs w:val="21"/>
                <w:lang w:val="en-US"/>
              </w:rPr>
              <w:t>1</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）推广使用中医防治慢性病适宜技术，</w:t>
            </w:r>
            <w:r>
              <w:rPr>
                <w:rFonts w:ascii="仿宋_GB2312" w:eastAsia="仿宋_GB2312"/>
                <w:szCs w:val="21"/>
                <w:lang w:val="en-US"/>
              </w:rPr>
              <w:t>1</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3</w:t>
            </w:r>
            <w:r>
              <w:rPr>
                <w:rFonts w:hint="eastAsia" w:ascii="仿宋_GB2312" w:eastAsia="仿宋_GB2312"/>
                <w:szCs w:val="21"/>
                <w:lang w:val="en-US"/>
              </w:rPr>
              <w:t>）对</w:t>
            </w:r>
            <w:r>
              <w:rPr>
                <w:rFonts w:ascii="仿宋_GB2312" w:eastAsia="仿宋_GB2312"/>
                <w:szCs w:val="21"/>
                <w:lang w:val="en-US"/>
              </w:rPr>
              <w:t>65</w:t>
            </w:r>
            <w:r>
              <w:rPr>
                <w:rFonts w:hint="eastAsia" w:ascii="仿宋_GB2312" w:eastAsia="仿宋_GB2312"/>
                <w:szCs w:val="21"/>
                <w:lang w:val="en-US"/>
              </w:rPr>
              <w:t>岁以上老年人提供中医药健康管理；</w:t>
            </w:r>
            <w:r>
              <w:rPr>
                <w:rFonts w:ascii="仿宋_GB2312" w:eastAsia="仿宋_GB2312"/>
                <w:szCs w:val="21"/>
                <w:lang w:val="en-US"/>
              </w:rPr>
              <w:t>1</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3</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3" w:hRule="atLeast"/>
          <w:jc w:val="center"/>
        </w:trPr>
        <w:tc>
          <w:tcPr>
            <w:tcW w:w="949" w:type="dxa"/>
            <w:vMerge w:val="continue"/>
          </w:tcPr>
          <w:p>
            <w:pPr>
              <w:pStyle w:val="21"/>
              <w:spacing w:line="560" w:lineRule="exact"/>
              <w:ind w:left="13"/>
              <w:rPr>
                <w:rFonts w:ascii="仿宋_GB2312" w:eastAsia="仿宋_GB2312"/>
                <w:szCs w:val="21"/>
              </w:rPr>
            </w:pPr>
          </w:p>
        </w:tc>
        <w:tc>
          <w:tcPr>
            <w:tcW w:w="1267"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（五）做好基本医疗保险、城乡居民大病保险和医疗救助重大疾病保障的衔接。（</w:t>
            </w:r>
            <w:r>
              <w:rPr>
                <w:rFonts w:ascii="仿宋_GB2312" w:eastAsia="仿宋_GB2312"/>
                <w:szCs w:val="21"/>
                <w:lang w:val="en-US"/>
              </w:rPr>
              <w:t>4</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1.</w:t>
            </w:r>
            <w:r>
              <w:rPr>
                <w:rFonts w:hint="eastAsia" w:ascii="仿宋_GB2312" w:eastAsia="仿宋_GB2312"/>
                <w:szCs w:val="21"/>
                <w:lang w:val="en-US"/>
              </w:rPr>
              <w:t>做好基本医疗保险、城乡居民大病保险和医疗救助重大疾病保障。</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）落实基本医疗保险、大病保险和医疗救助重大疾病保障等相关政策，</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）提高签约慢性病患者的医疗保障水平和残疾人、流动人口、低收入等人群医疗救助水平的具体措施，</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2</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医保局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1" w:hRule="atLeast"/>
          <w:jc w:val="center"/>
        </w:trPr>
        <w:tc>
          <w:tcPr>
            <w:tcW w:w="949" w:type="dxa"/>
            <w:vMerge w:val="continue"/>
          </w:tcPr>
          <w:p>
            <w:pPr>
              <w:pStyle w:val="21"/>
              <w:spacing w:line="560" w:lineRule="exact"/>
              <w:ind w:left="13"/>
              <w:rPr>
                <w:rFonts w:ascii="仿宋_GB2312" w:eastAsia="仿宋_GB2312"/>
                <w:szCs w:val="21"/>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2.</w:t>
            </w:r>
            <w:r>
              <w:rPr>
                <w:rFonts w:hint="eastAsia" w:ascii="仿宋_GB2312" w:eastAsia="仿宋_GB2312"/>
                <w:szCs w:val="21"/>
                <w:lang w:val="en-US"/>
              </w:rPr>
              <w:t>基层医疗卫生机构优先配备使用基本药物，根据省级医保药品报销目录，配备使用一定数量或比例的药品。</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）按基本药物目录配置，</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复审：辖区基层医疗卫生服务机构设立药物绿色通道（包括延伸处方或长处方）</w:t>
            </w:r>
            <w:r>
              <w:rPr>
                <w:rFonts w:ascii="仿宋_GB2312" w:eastAsia="仿宋_GB2312"/>
                <w:szCs w:val="21"/>
                <w:lang w:val="en-US"/>
              </w:rPr>
              <w:t>1</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）按省级卫生健康行政部门规定和要求配备使用医保报销药物。</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2</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jc w:val="center"/>
        </w:trPr>
        <w:tc>
          <w:tcPr>
            <w:tcW w:w="949" w:type="dxa"/>
            <w:vMerge w:val="continue"/>
          </w:tcPr>
          <w:p>
            <w:pPr>
              <w:pStyle w:val="21"/>
              <w:spacing w:line="560" w:lineRule="exact"/>
              <w:ind w:left="13"/>
              <w:rPr>
                <w:rFonts w:ascii="仿宋_GB2312" w:eastAsia="仿宋_GB2312"/>
                <w:szCs w:val="21"/>
              </w:rPr>
            </w:pPr>
          </w:p>
        </w:tc>
        <w:tc>
          <w:tcPr>
            <w:tcW w:w="1267"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（六）动员社会力量参与慢性病防控工作，促进医养结合。（</w:t>
            </w:r>
            <w:r>
              <w:rPr>
                <w:rFonts w:ascii="仿宋_GB2312" w:eastAsia="仿宋_GB2312"/>
                <w:szCs w:val="21"/>
                <w:lang w:val="en-US"/>
              </w:rPr>
              <w:t>7</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1.</w:t>
            </w:r>
            <w:r>
              <w:rPr>
                <w:rFonts w:hint="eastAsia" w:ascii="仿宋_GB2312" w:eastAsia="仿宋_GB2312"/>
                <w:szCs w:val="21"/>
                <w:lang w:val="en-US"/>
              </w:rPr>
              <w:t>政府引导、市场驱动、社会力量参与，为慢性病患者提供健康管理服务。</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）有效引进社会资本参与慢性病防控，</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）商业健康保险参与医疗救助，</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3</w:t>
            </w:r>
            <w:r>
              <w:rPr>
                <w:rFonts w:hint="eastAsia" w:ascii="仿宋_GB2312" w:eastAsia="仿宋_GB2312"/>
                <w:szCs w:val="21"/>
                <w:lang w:val="en-US"/>
              </w:rPr>
              <w:t>）通过向社会力量购买服务的方式，为慢性病患者提供健康管理服务，</w:t>
            </w:r>
            <w:r>
              <w:rPr>
                <w:rFonts w:ascii="仿宋_GB2312" w:eastAsia="仿宋_GB2312"/>
                <w:szCs w:val="21"/>
                <w:lang w:val="en-US"/>
              </w:rPr>
              <w:t>2</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r>
              <w:rPr>
                <w:rFonts w:ascii="仿宋_GB2312" w:eastAsia="仿宋_GB2312"/>
                <w:szCs w:val="21"/>
                <w:lang w:val="en-US"/>
              </w:rPr>
              <w:t>4</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市政府</w:t>
            </w:r>
          </w:p>
          <w:p>
            <w:pPr>
              <w:pStyle w:val="21"/>
              <w:spacing w:before="79"/>
              <w:ind w:left="14"/>
              <w:jc w:val="center"/>
              <w:rPr>
                <w:rFonts w:ascii="仿宋_GB2312" w:eastAsia="仿宋_GB2312"/>
                <w:szCs w:val="21"/>
                <w:lang w:val="en-US"/>
              </w:rPr>
            </w:pPr>
            <w:r>
              <w:rPr>
                <w:rFonts w:hint="eastAsia" w:ascii="仿宋_GB2312" w:eastAsia="仿宋_GB2312"/>
                <w:szCs w:val="21"/>
                <w:lang w:val="en-US"/>
              </w:rPr>
              <w:t>医保局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6" w:hRule="atLeast"/>
          <w:jc w:val="center"/>
        </w:trPr>
        <w:tc>
          <w:tcPr>
            <w:tcW w:w="949" w:type="dxa"/>
            <w:vMerge w:val="continue"/>
          </w:tcPr>
          <w:p>
            <w:pPr>
              <w:pStyle w:val="21"/>
              <w:spacing w:line="560" w:lineRule="exact"/>
              <w:ind w:left="13"/>
              <w:rPr>
                <w:rFonts w:ascii="仿宋_GB2312" w:eastAsia="仿宋_GB2312"/>
                <w:szCs w:val="21"/>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2.</w:t>
            </w:r>
            <w:r>
              <w:rPr>
                <w:rFonts w:hint="eastAsia" w:ascii="仿宋_GB2312" w:eastAsia="仿宋_GB2312"/>
                <w:szCs w:val="21"/>
                <w:lang w:val="en-US"/>
              </w:rPr>
              <w:t>促进慢性病全程防治管理服务与社区居家养老和机构养老服务融合。</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）辖区内每个街道（乡镇除外）均设有为居家养老的半失能老年人提供日间托养服务的社区老年人日间照料中心，</w:t>
            </w:r>
            <w:r>
              <w:rPr>
                <w:rFonts w:ascii="仿宋_GB2312" w:eastAsia="仿宋_GB2312"/>
                <w:szCs w:val="21"/>
                <w:lang w:val="en-US"/>
              </w:rPr>
              <w:t>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）以不同形式为入住老年人提供医疗卫生服务的养老机构比例达到</w:t>
            </w:r>
            <w:r>
              <w:rPr>
                <w:rFonts w:ascii="仿宋_GB2312" w:eastAsia="仿宋_GB2312"/>
                <w:szCs w:val="21"/>
                <w:lang w:val="en-US"/>
              </w:rPr>
              <w:t>100%1</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3</w:t>
            </w:r>
            <w:r>
              <w:rPr>
                <w:rFonts w:hint="eastAsia" w:ascii="仿宋_GB2312" w:eastAsia="仿宋_GB2312"/>
                <w:szCs w:val="21"/>
                <w:lang w:val="en-US"/>
              </w:rPr>
              <w:t>）设置老年医学科的二级及以上综合性医院比例达到</w:t>
            </w:r>
            <w:r>
              <w:rPr>
                <w:rFonts w:ascii="仿宋_GB2312" w:eastAsia="仿宋_GB2312"/>
                <w:szCs w:val="21"/>
                <w:lang w:val="en-US"/>
              </w:rPr>
              <w:t>70%</w:t>
            </w:r>
            <w:r>
              <w:rPr>
                <w:rFonts w:hint="eastAsia" w:ascii="仿宋_GB2312" w:eastAsia="仿宋_GB2312"/>
                <w:szCs w:val="21"/>
                <w:lang w:val="en-US"/>
              </w:rPr>
              <w:t>，得</w:t>
            </w:r>
            <w:r>
              <w:rPr>
                <w:rFonts w:ascii="仿宋_GB2312" w:eastAsia="仿宋_GB2312"/>
                <w:szCs w:val="21"/>
                <w:lang w:val="en-US"/>
              </w:rPr>
              <w:t>1</w:t>
            </w:r>
            <w:r>
              <w:rPr>
                <w:rFonts w:hint="eastAsia" w:ascii="仿宋_GB2312" w:eastAsia="仿宋_GB2312"/>
                <w:szCs w:val="21"/>
                <w:lang w:val="en-US"/>
              </w:rPr>
              <w:t>分；</w:t>
            </w:r>
          </w:p>
          <w:p>
            <w:pPr>
              <w:pStyle w:val="21"/>
              <w:spacing w:before="79"/>
              <w:ind w:left="14"/>
              <w:rPr>
                <w:rFonts w:ascii="仿宋_GB2312" w:eastAsia="仿宋_GB2312"/>
                <w:szCs w:val="21"/>
                <w:lang w:val="en-US"/>
              </w:rPr>
            </w:pPr>
            <w:r>
              <w:rPr>
                <w:rFonts w:ascii="仿宋_GB2312" w:eastAsia="仿宋_GB2312"/>
                <w:szCs w:val="21"/>
                <w:lang w:val="en-US"/>
              </w:rPr>
              <w:t>50%-70%</w:t>
            </w:r>
            <w:r>
              <w:rPr>
                <w:rFonts w:hint="eastAsia" w:ascii="仿宋_GB2312" w:eastAsia="仿宋_GB2312"/>
                <w:szCs w:val="21"/>
                <w:lang w:val="en-US"/>
              </w:rPr>
              <w:t>，得</w:t>
            </w:r>
            <w:r>
              <w:rPr>
                <w:rFonts w:ascii="仿宋_GB2312" w:eastAsia="仿宋_GB2312"/>
                <w:szCs w:val="21"/>
                <w:lang w:val="en-US"/>
              </w:rPr>
              <w:t>0.5</w:t>
            </w:r>
            <w:r>
              <w:rPr>
                <w:rFonts w:hint="eastAsia" w:ascii="仿宋_GB2312" w:eastAsia="仿宋_GB2312"/>
                <w:szCs w:val="21"/>
                <w:lang w:val="en-US"/>
              </w:rPr>
              <w:t>分；</w:t>
            </w:r>
            <w:r>
              <w:rPr>
                <w:rFonts w:ascii="仿宋_GB2312" w:eastAsia="仿宋_GB2312"/>
                <w:szCs w:val="21"/>
                <w:lang w:val="en-US"/>
              </w:rPr>
              <w:t>50%</w:t>
            </w:r>
            <w:r>
              <w:rPr>
                <w:rFonts w:hint="eastAsia" w:ascii="仿宋_GB2312" w:eastAsia="仿宋_GB2312"/>
                <w:szCs w:val="21"/>
                <w:lang w:val="en-US"/>
              </w:rPr>
              <w:t>以下</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79"/>
              <w:ind w:left="14"/>
              <w:jc w:val="center"/>
              <w:rPr>
                <w:rFonts w:ascii="仿宋_GB2312" w:eastAsia="仿宋_GB2312"/>
                <w:szCs w:val="21"/>
                <w:lang w:val="en-US"/>
              </w:rPr>
            </w:pPr>
          </w:p>
          <w:p>
            <w:pPr>
              <w:pStyle w:val="21"/>
              <w:spacing w:before="79"/>
              <w:ind w:left="14"/>
              <w:jc w:val="center"/>
              <w:rPr>
                <w:rFonts w:ascii="仿宋_GB2312" w:eastAsia="仿宋_GB2312"/>
                <w:szCs w:val="21"/>
                <w:lang w:val="en-US"/>
              </w:rPr>
            </w:pPr>
            <w:r>
              <w:rPr>
                <w:rFonts w:ascii="仿宋_GB2312" w:eastAsia="仿宋_GB2312"/>
                <w:szCs w:val="21"/>
                <w:lang w:val="en-US"/>
              </w:rPr>
              <w:t>3</w:t>
            </w:r>
          </w:p>
        </w:tc>
        <w:tc>
          <w:tcPr>
            <w:tcW w:w="1260" w:type="dxa"/>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各街道办、</w:t>
            </w:r>
          </w:p>
          <w:p>
            <w:pPr>
              <w:pStyle w:val="21"/>
              <w:spacing w:before="79"/>
              <w:ind w:left="14"/>
              <w:jc w:val="center"/>
              <w:rPr>
                <w:rFonts w:ascii="仿宋_GB2312" w:eastAsia="仿宋_GB2312"/>
                <w:szCs w:val="21"/>
                <w:lang w:val="en-US"/>
              </w:rPr>
            </w:pPr>
            <w:r>
              <w:rPr>
                <w:rFonts w:hint="eastAsia" w:ascii="仿宋_GB2312" w:eastAsia="仿宋_GB2312"/>
                <w:szCs w:val="21"/>
                <w:lang w:val="en-US"/>
              </w:rPr>
              <w:t>管委会</w:t>
            </w:r>
          </w:p>
          <w:p>
            <w:pPr>
              <w:pStyle w:val="21"/>
              <w:spacing w:before="79"/>
              <w:ind w:left="14"/>
              <w:jc w:val="center"/>
              <w:rPr>
                <w:rFonts w:ascii="仿宋_GB2312" w:eastAsia="仿宋_GB2312"/>
                <w:szCs w:val="21"/>
                <w:lang w:val="en-US"/>
              </w:rPr>
            </w:pPr>
            <w:r>
              <w:rPr>
                <w:rFonts w:hint="eastAsia" w:ascii="仿宋_GB2312" w:eastAsia="仿宋_GB2312"/>
                <w:szCs w:val="21"/>
                <w:lang w:val="en-US"/>
              </w:rPr>
              <w:t>民政局</w:t>
            </w:r>
          </w:p>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949"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七、监测评估</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30</w:t>
            </w:r>
            <w:r>
              <w:rPr>
                <w:rFonts w:hint="eastAsia" w:ascii="仿宋_GB2312" w:eastAsia="仿宋_GB2312"/>
                <w:szCs w:val="21"/>
                <w:lang w:val="en-US"/>
              </w:rPr>
              <w:t>分）</w:t>
            </w:r>
          </w:p>
        </w:tc>
        <w:tc>
          <w:tcPr>
            <w:tcW w:w="1267"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（一）开展过程质量控制和重点慢性病监测工作（</w:t>
            </w:r>
            <w:r>
              <w:rPr>
                <w:rFonts w:ascii="仿宋_GB2312" w:eastAsia="仿宋_GB2312"/>
                <w:szCs w:val="21"/>
                <w:lang w:val="en-US"/>
              </w:rPr>
              <w:t>20</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1.</w:t>
            </w:r>
            <w:r>
              <w:rPr>
                <w:rFonts w:hint="eastAsia" w:ascii="仿宋_GB2312" w:eastAsia="仿宋_GB2312"/>
                <w:szCs w:val="21"/>
                <w:lang w:val="en-US"/>
              </w:rPr>
              <w:t>规范开展覆盖辖区慢性病及相关危险因素监测，掌握辖区重点慢性病状况、影响因素和疾病负担。</w:t>
            </w:r>
          </w:p>
        </w:tc>
        <w:tc>
          <w:tcPr>
            <w:tcW w:w="6869" w:type="dxa"/>
            <w:vAlign w:val="center"/>
          </w:tcPr>
          <w:p>
            <w:pPr>
              <w:pStyle w:val="21"/>
              <w:spacing w:before="79" w:line="240" w:lineRule="exact"/>
              <w:ind w:left="11"/>
              <w:rPr>
                <w:rFonts w:ascii="仿宋_GB2312" w:eastAsia="仿宋_GB2312"/>
                <w:szCs w:val="21"/>
                <w:lang w:val="en-US"/>
              </w:rPr>
            </w:pPr>
            <w:r>
              <w:rPr>
                <w:rFonts w:hint="eastAsia" w:ascii="仿宋_GB2312" w:eastAsia="仿宋_GB2312"/>
                <w:szCs w:val="21"/>
                <w:lang w:val="en-US"/>
              </w:rPr>
              <w:t>全人群的死因监测、慢性病与营养监测（含心脑血管事件监测、慢性阻塞性肺疾病监测）、肿瘤随访登记等重大慢性病登记报告达到基本技术指标，完成报告。</w:t>
            </w:r>
          </w:p>
          <w:p>
            <w:pPr>
              <w:pStyle w:val="21"/>
              <w:spacing w:before="79" w:line="240" w:lineRule="exact"/>
              <w:ind w:left="11"/>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）死因监测，</w:t>
            </w:r>
            <w:r>
              <w:rPr>
                <w:rFonts w:ascii="仿宋_GB2312" w:eastAsia="仿宋_GB2312"/>
                <w:szCs w:val="21"/>
                <w:lang w:val="en-US"/>
              </w:rPr>
              <w:t>2</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line="240" w:lineRule="exact"/>
              <w:ind w:left="11"/>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）慢性病与营养监测，</w:t>
            </w:r>
            <w:r>
              <w:rPr>
                <w:rFonts w:ascii="仿宋_GB2312" w:eastAsia="仿宋_GB2312"/>
                <w:szCs w:val="21"/>
                <w:lang w:val="en-US"/>
              </w:rPr>
              <w:t>6</w:t>
            </w:r>
            <w:r>
              <w:rPr>
                <w:rFonts w:hint="eastAsia" w:ascii="仿宋_GB2312" w:eastAsia="仿宋_GB2312"/>
                <w:szCs w:val="21"/>
                <w:lang w:val="en-US"/>
              </w:rPr>
              <w:t>分。</w:t>
            </w:r>
          </w:p>
          <w:p>
            <w:pPr>
              <w:pStyle w:val="21"/>
              <w:spacing w:before="79" w:line="240" w:lineRule="exact"/>
              <w:ind w:left="11"/>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3</w:t>
            </w:r>
            <w:r>
              <w:rPr>
                <w:rFonts w:hint="eastAsia" w:ascii="仿宋_GB2312" w:eastAsia="仿宋_GB2312"/>
                <w:szCs w:val="21"/>
                <w:lang w:val="en-US"/>
              </w:rPr>
              <w:t>）肿瘤随访登记，</w:t>
            </w:r>
            <w:r>
              <w:rPr>
                <w:rFonts w:ascii="仿宋_GB2312" w:eastAsia="仿宋_GB2312"/>
                <w:szCs w:val="21"/>
                <w:lang w:val="en-US"/>
              </w:rPr>
              <w:t>2</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line="560" w:lineRule="exact"/>
              <w:ind w:left="69" w:right="62"/>
              <w:jc w:val="center"/>
              <w:rPr>
                <w:rFonts w:ascii="仿宋_GB2312" w:eastAsia="仿宋_GB2312"/>
                <w:szCs w:val="21"/>
              </w:rPr>
            </w:pPr>
            <w:r>
              <w:rPr>
                <w:rFonts w:ascii="仿宋_GB2312" w:eastAsia="仿宋_GB2312"/>
                <w:szCs w:val="21"/>
              </w:rPr>
              <w:t>10</w:t>
            </w:r>
          </w:p>
        </w:tc>
        <w:tc>
          <w:tcPr>
            <w:tcW w:w="1260" w:type="dxa"/>
            <w:vAlign w:val="center"/>
          </w:tcPr>
          <w:p>
            <w:pPr>
              <w:pStyle w:val="21"/>
              <w:spacing w:line="560" w:lineRule="exact"/>
              <w:jc w:val="center"/>
              <w:rPr>
                <w:rFonts w:ascii="仿宋_GB2312" w:eastAsia="仿宋_GB2312"/>
                <w:szCs w:val="21"/>
              </w:rPr>
            </w:pPr>
            <w:r>
              <w:rPr>
                <w:rFonts w:hint="eastAsia" w:ascii="仿宋_GB2312" w:eastAsia="仿宋_GB2312"/>
                <w:szCs w:val="21"/>
              </w:rPr>
              <w:t>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jc w:val="center"/>
        </w:trPr>
        <w:tc>
          <w:tcPr>
            <w:tcW w:w="949" w:type="dxa"/>
            <w:vMerge w:val="continue"/>
          </w:tcPr>
          <w:p>
            <w:pPr>
              <w:pStyle w:val="21"/>
              <w:spacing w:line="560" w:lineRule="exact"/>
              <w:ind w:left="13"/>
              <w:rPr>
                <w:rFonts w:ascii="仿宋_GB2312" w:eastAsia="仿宋_GB2312"/>
                <w:szCs w:val="21"/>
              </w:rPr>
            </w:pPr>
          </w:p>
        </w:tc>
        <w:tc>
          <w:tcPr>
            <w:tcW w:w="1267" w:type="dxa"/>
            <w:vMerge w:val="continue"/>
            <w:vAlign w:val="center"/>
          </w:tcPr>
          <w:p>
            <w:pPr>
              <w:pStyle w:val="21"/>
              <w:spacing w:before="79"/>
              <w:ind w:left="14"/>
              <w:rPr>
                <w:rFonts w:ascii="仿宋_GB2312" w:eastAsia="仿宋_GB2312"/>
                <w:szCs w:val="21"/>
                <w:lang w:val="en-US"/>
              </w:rPr>
            </w:pP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2.</w:t>
            </w:r>
            <w:r>
              <w:rPr>
                <w:rFonts w:hint="eastAsia" w:ascii="仿宋_GB2312" w:eastAsia="仿宋_GB2312"/>
                <w:szCs w:val="21"/>
                <w:lang w:val="en-US"/>
              </w:rPr>
              <w:t>慢性病监测数据互联互通。</w:t>
            </w:r>
          </w:p>
        </w:tc>
        <w:tc>
          <w:tcPr>
            <w:tcW w:w="6869" w:type="dxa"/>
            <w:vAlign w:val="center"/>
          </w:tcPr>
          <w:p>
            <w:pPr>
              <w:pStyle w:val="21"/>
              <w:spacing w:before="79" w:line="240" w:lineRule="exact"/>
              <w:ind w:left="11"/>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）利用省、地市、县三级人口健康信息和疾病预防控制信息管理系统，实现重点慢性病监测数据互联互通，</w:t>
            </w:r>
            <w:r>
              <w:rPr>
                <w:rFonts w:ascii="仿宋_GB2312" w:eastAsia="仿宋_GB2312"/>
                <w:szCs w:val="21"/>
                <w:lang w:val="en-US"/>
              </w:rPr>
              <w:t>5</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line="240" w:lineRule="exact"/>
              <w:ind w:left="11"/>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）慢性病监测数据管理利用得到省级及以上卫生行政部门认可推广，</w:t>
            </w:r>
            <w:r>
              <w:rPr>
                <w:rFonts w:ascii="仿宋_GB2312" w:eastAsia="仿宋_GB2312"/>
                <w:szCs w:val="21"/>
                <w:lang w:val="en-US"/>
              </w:rPr>
              <w:t>5</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line="560" w:lineRule="exact"/>
              <w:ind w:left="69" w:right="62"/>
              <w:jc w:val="center"/>
              <w:rPr>
                <w:rFonts w:ascii="仿宋_GB2312" w:eastAsia="仿宋_GB2312"/>
                <w:szCs w:val="21"/>
              </w:rPr>
            </w:pPr>
            <w:r>
              <w:rPr>
                <w:rFonts w:ascii="仿宋_GB2312" w:eastAsia="仿宋_GB2312"/>
                <w:szCs w:val="21"/>
              </w:rPr>
              <w:t>10</w:t>
            </w:r>
          </w:p>
          <w:p>
            <w:pPr>
              <w:pStyle w:val="21"/>
              <w:spacing w:line="560" w:lineRule="exact"/>
              <w:ind w:left="69" w:right="62"/>
              <w:jc w:val="center"/>
              <w:rPr>
                <w:rFonts w:ascii="仿宋_GB2312" w:eastAsia="仿宋_GB2312"/>
                <w:szCs w:val="21"/>
              </w:rPr>
            </w:pPr>
          </w:p>
        </w:tc>
        <w:tc>
          <w:tcPr>
            <w:tcW w:w="1260" w:type="dxa"/>
            <w:vAlign w:val="center"/>
          </w:tcPr>
          <w:p>
            <w:pPr>
              <w:pStyle w:val="21"/>
              <w:spacing w:line="560" w:lineRule="exact"/>
              <w:jc w:val="center"/>
              <w:rPr>
                <w:rFonts w:ascii="仿宋_GB2312" w:eastAsia="仿宋_GB2312"/>
                <w:szCs w:val="21"/>
              </w:rPr>
            </w:pPr>
            <w:r>
              <w:rPr>
                <w:rFonts w:hint="eastAsia" w:ascii="仿宋_GB2312" w:eastAsia="仿宋_GB2312"/>
                <w:szCs w:val="21"/>
              </w:rPr>
              <w:t>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1" w:hRule="atLeast"/>
          <w:jc w:val="center"/>
        </w:trPr>
        <w:tc>
          <w:tcPr>
            <w:tcW w:w="949" w:type="dxa"/>
            <w:vMerge w:val="continue"/>
          </w:tcPr>
          <w:p>
            <w:pPr>
              <w:pStyle w:val="21"/>
              <w:spacing w:line="560" w:lineRule="exact"/>
              <w:rPr>
                <w:rFonts w:ascii="仿宋_GB2312" w:eastAsia="仿宋_GB2312"/>
                <w:szCs w:val="21"/>
              </w:rPr>
            </w:pPr>
          </w:p>
        </w:tc>
        <w:tc>
          <w:tcPr>
            <w:tcW w:w="1267"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（二）开展慢性病防控社会因素调查</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10</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1.</w:t>
            </w:r>
            <w:r>
              <w:rPr>
                <w:rFonts w:hint="eastAsia" w:ascii="仿宋_GB2312" w:eastAsia="仿宋_GB2312"/>
                <w:szCs w:val="21"/>
                <w:lang w:val="en-US"/>
              </w:rPr>
              <w:t>辖区每</w:t>
            </w:r>
            <w:r>
              <w:rPr>
                <w:rFonts w:ascii="仿宋_GB2312" w:eastAsia="仿宋_GB2312"/>
                <w:szCs w:val="21"/>
                <w:lang w:val="en-US"/>
              </w:rPr>
              <w:t>5</w:t>
            </w:r>
            <w:r>
              <w:rPr>
                <w:rFonts w:hint="eastAsia" w:ascii="仿宋_GB2312" w:eastAsia="仿宋_GB2312"/>
                <w:szCs w:val="21"/>
                <w:lang w:val="en-US"/>
              </w:rPr>
              <w:t>年开展一次慢性病及社会影响因素状况调查。</w:t>
            </w:r>
          </w:p>
          <w:p>
            <w:pPr>
              <w:pStyle w:val="21"/>
              <w:spacing w:before="79"/>
              <w:ind w:left="14"/>
              <w:rPr>
                <w:rFonts w:ascii="仿宋_GB2312" w:eastAsia="仿宋_GB2312"/>
                <w:szCs w:val="21"/>
                <w:lang w:val="en-US"/>
              </w:rPr>
            </w:pPr>
          </w:p>
          <w:p>
            <w:pPr>
              <w:pStyle w:val="21"/>
              <w:spacing w:before="79"/>
              <w:ind w:left="14"/>
              <w:rPr>
                <w:rFonts w:ascii="仿宋_GB2312" w:eastAsia="仿宋_GB2312"/>
                <w:szCs w:val="21"/>
                <w:lang w:val="en-US"/>
              </w:rPr>
            </w:pPr>
          </w:p>
          <w:p>
            <w:pPr>
              <w:pStyle w:val="21"/>
              <w:spacing w:before="79"/>
              <w:ind w:left="14"/>
              <w:rPr>
                <w:rFonts w:ascii="仿宋_GB2312" w:eastAsia="仿宋_GB2312"/>
                <w:szCs w:val="21"/>
                <w:lang w:val="en-US"/>
              </w:rPr>
            </w:pPr>
          </w:p>
          <w:p>
            <w:pPr>
              <w:pStyle w:val="21"/>
              <w:spacing w:before="79"/>
              <w:ind w:left="14"/>
              <w:rPr>
                <w:rFonts w:ascii="仿宋_GB2312" w:eastAsia="仿宋_GB2312"/>
                <w:szCs w:val="21"/>
                <w:lang w:val="en-US"/>
              </w:rPr>
            </w:pPr>
          </w:p>
        </w:tc>
        <w:tc>
          <w:tcPr>
            <w:tcW w:w="6869" w:type="dxa"/>
            <w:vAlign w:val="center"/>
          </w:tcPr>
          <w:p>
            <w:pPr>
              <w:pStyle w:val="21"/>
              <w:spacing w:before="79" w:line="240" w:lineRule="exact"/>
              <w:ind w:left="11"/>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）规范制定慢性病及社会影响因素状况调查方案，</w:t>
            </w:r>
            <w:r>
              <w:rPr>
                <w:rFonts w:ascii="仿宋_GB2312" w:eastAsia="仿宋_GB2312"/>
                <w:szCs w:val="21"/>
                <w:lang w:val="en-US"/>
              </w:rPr>
              <w:t>2</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line="240" w:lineRule="exact"/>
              <w:ind w:left="11"/>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）综合运用社会学、流行病学及管理学理论与方法开展慢性病及社会影响因素状况调查，完成调查技术报告，</w:t>
            </w:r>
            <w:r>
              <w:rPr>
                <w:rFonts w:ascii="仿宋_GB2312" w:eastAsia="仿宋_GB2312"/>
                <w:szCs w:val="21"/>
                <w:lang w:val="en-US"/>
              </w:rPr>
              <w:t>2</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line="240" w:lineRule="exact"/>
              <w:ind w:left="11"/>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3</w:t>
            </w:r>
            <w:r>
              <w:rPr>
                <w:rFonts w:hint="eastAsia" w:ascii="仿宋_GB2312" w:eastAsia="仿宋_GB2312"/>
                <w:szCs w:val="21"/>
                <w:lang w:val="en-US"/>
              </w:rPr>
              <w:t>）技术报告信息来源权威、准确、多元、综合，报告结构完整，有背景、方法、现状与主要问题、资源分析、预期目标、主要对策与具体措施等内容</w:t>
            </w:r>
            <w:r>
              <w:rPr>
                <w:rFonts w:ascii="仿宋_GB2312" w:eastAsia="仿宋_GB2312"/>
                <w:szCs w:val="21"/>
                <w:lang w:val="en-US"/>
              </w:rPr>
              <w:t>2</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line="240" w:lineRule="exact"/>
              <w:ind w:left="11"/>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4</w:t>
            </w:r>
            <w:r>
              <w:rPr>
                <w:rFonts w:hint="eastAsia" w:ascii="仿宋_GB2312" w:eastAsia="仿宋_GB2312"/>
                <w:szCs w:val="21"/>
                <w:lang w:val="en-US"/>
              </w:rPr>
              <w:t>）技术报告调查结果清晰、调查依据正确、对策合乎逻辑、目标设定科学措施设计得当，</w:t>
            </w:r>
            <w:r>
              <w:rPr>
                <w:rFonts w:ascii="仿宋_GB2312" w:eastAsia="仿宋_GB2312"/>
                <w:szCs w:val="21"/>
                <w:lang w:val="en-US"/>
              </w:rPr>
              <w:t>2</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line="240" w:lineRule="exact"/>
              <w:ind w:left="11"/>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5</w:t>
            </w:r>
            <w:r>
              <w:rPr>
                <w:rFonts w:hint="eastAsia" w:ascii="仿宋_GB2312" w:eastAsia="仿宋_GB2312"/>
                <w:szCs w:val="21"/>
                <w:lang w:val="en-US"/>
              </w:rPr>
              <w:t>）技术报告结果用于指引、评估示范区建设及慢性病综合防控工作计划的制定，</w:t>
            </w:r>
            <w:r>
              <w:rPr>
                <w:rFonts w:ascii="仿宋_GB2312" w:eastAsia="仿宋_GB2312"/>
                <w:szCs w:val="21"/>
                <w:lang w:val="en-US"/>
              </w:rPr>
              <w:t>2</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line="560" w:lineRule="exact"/>
              <w:ind w:left="69" w:right="62"/>
              <w:jc w:val="center"/>
              <w:rPr>
                <w:rFonts w:ascii="仿宋_GB2312" w:eastAsia="仿宋_GB2312"/>
                <w:szCs w:val="21"/>
              </w:rPr>
            </w:pPr>
            <w:r>
              <w:rPr>
                <w:rFonts w:ascii="仿宋_GB2312" w:eastAsia="仿宋_GB2312"/>
                <w:szCs w:val="21"/>
              </w:rPr>
              <w:t>10</w:t>
            </w:r>
          </w:p>
        </w:tc>
        <w:tc>
          <w:tcPr>
            <w:tcW w:w="1260" w:type="dxa"/>
            <w:vAlign w:val="center"/>
          </w:tcPr>
          <w:p>
            <w:pPr>
              <w:pStyle w:val="21"/>
              <w:spacing w:line="560" w:lineRule="exact"/>
              <w:jc w:val="center"/>
              <w:rPr>
                <w:rFonts w:ascii="仿宋_GB2312" w:eastAsia="仿宋_GB2312"/>
                <w:szCs w:val="21"/>
              </w:rPr>
            </w:pPr>
            <w:r>
              <w:rPr>
                <w:rFonts w:hint="eastAsia" w:ascii="仿宋_GB2312" w:eastAsia="仿宋_GB2312"/>
                <w:szCs w:val="21"/>
              </w:rPr>
              <w:t>市政府</w:t>
            </w:r>
          </w:p>
          <w:p>
            <w:pPr>
              <w:pStyle w:val="21"/>
              <w:spacing w:line="560" w:lineRule="exact"/>
              <w:jc w:val="center"/>
              <w:rPr>
                <w:rFonts w:ascii="仿宋_GB2312" w:eastAsia="仿宋_GB2312"/>
                <w:szCs w:val="21"/>
              </w:rPr>
            </w:pPr>
            <w:r>
              <w:rPr>
                <w:rFonts w:hint="eastAsia" w:ascii="仿宋_GB2312" w:eastAsia="仿宋_GB2312"/>
                <w:szCs w:val="21"/>
              </w:rPr>
              <w:t>卫健委</w:t>
            </w:r>
          </w:p>
          <w:p>
            <w:pPr>
              <w:pStyle w:val="21"/>
              <w:spacing w:line="560" w:lineRule="exact"/>
              <w:jc w:val="center"/>
              <w:rPr>
                <w:rFonts w:ascii="仿宋_GB2312" w:eastAsia="仿宋_GB2312"/>
                <w:szCs w:val="21"/>
              </w:rPr>
            </w:pPr>
            <w:r>
              <w:rPr>
                <w:rFonts w:hint="eastAsia" w:ascii="仿宋_GB2312" w:eastAsia="仿宋_GB2312"/>
                <w:szCs w:val="21"/>
              </w:rPr>
              <w:t>各职能部门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1" w:hRule="atLeast"/>
          <w:jc w:val="center"/>
        </w:trPr>
        <w:tc>
          <w:tcPr>
            <w:tcW w:w="949"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八、创新引领</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35</w:t>
            </w:r>
            <w:r>
              <w:rPr>
                <w:rFonts w:hint="eastAsia" w:ascii="仿宋_GB2312" w:eastAsia="仿宋_GB2312"/>
                <w:szCs w:val="21"/>
                <w:lang w:val="en-US"/>
              </w:rPr>
              <w:t>分）</w:t>
            </w:r>
          </w:p>
        </w:tc>
        <w:tc>
          <w:tcPr>
            <w:tcW w:w="1267" w:type="dxa"/>
            <w:vMerge w:val="restart"/>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慢性病综合防控工作有特色、可复制、可推广</w:t>
            </w:r>
          </w:p>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 xml:space="preserve">35 </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lang w:val="en-US"/>
              </w:rPr>
            </w:pPr>
            <w:r>
              <w:rPr>
                <w:rFonts w:ascii="仿宋_GB2312" w:eastAsia="仿宋_GB2312"/>
                <w:szCs w:val="21"/>
                <w:lang w:val="en-US"/>
              </w:rPr>
              <w:t>1.</w:t>
            </w:r>
            <w:r>
              <w:rPr>
                <w:rFonts w:hint="eastAsia" w:ascii="仿宋_GB2312" w:eastAsia="仿宋_GB2312"/>
                <w:szCs w:val="21"/>
                <w:lang w:val="en-US"/>
              </w:rPr>
              <w:t>倡导慢性病综合防控工作与当地社会、文化等建设和公共服务、公共产品供给相结合。</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慢性病综合防控工作与辖区社区文化建设、健康城市建设、文明创建、公共服务与公共产品等相关项目有机衔接整合，以达到</w:t>
            </w:r>
            <w:r>
              <w:rPr>
                <w:rFonts w:ascii="仿宋_GB2312" w:eastAsia="仿宋_GB2312"/>
                <w:szCs w:val="21"/>
                <w:lang w:val="en-US"/>
              </w:rPr>
              <w:t xml:space="preserve">1+1&gt;2 </w:t>
            </w:r>
            <w:r>
              <w:rPr>
                <w:rFonts w:hint="eastAsia" w:ascii="仿宋_GB2312" w:eastAsia="仿宋_GB2312"/>
                <w:szCs w:val="21"/>
                <w:lang w:val="en-US"/>
              </w:rPr>
              <w:t>的实际效果。建立协同工作机制并有效衔接达</w:t>
            </w:r>
            <w:r>
              <w:rPr>
                <w:rFonts w:ascii="仿宋_GB2312" w:eastAsia="仿宋_GB2312"/>
                <w:szCs w:val="21"/>
                <w:lang w:val="en-US"/>
              </w:rPr>
              <w:t>5</w:t>
            </w:r>
            <w:r>
              <w:rPr>
                <w:rFonts w:hint="eastAsia" w:ascii="仿宋_GB2312" w:eastAsia="仿宋_GB2312"/>
                <w:szCs w:val="21"/>
                <w:lang w:val="en-US"/>
              </w:rPr>
              <w:t>项，</w:t>
            </w:r>
            <w:r>
              <w:rPr>
                <w:rFonts w:ascii="仿宋_GB2312" w:eastAsia="仿宋_GB2312"/>
                <w:szCs w:val="21"/>
                <w:lang w:val="en-US"/>
              </w:rPr>
              <w:t xml:space="preserve">10 </w:t>
            </w:r>
            <w:r>
              <w:rPr>
                <w:rFonts w:hint="eastAsia" w:ascii="仿宋_GB2312" w:eastAsia="仿宋_GB2312"/>
                <w:szCs w:val="21"/>
                <w:lang w:val="en-US"/>
              </w:rPr>
              <w:t>分；</w:t>
            </w:r>
            <w:r>
              <w:rPr>
                <w:rFonts w:ascii="仿宋_GB2312" w:eastAsia="仿宋_GB2312"/>
                <w:szCs w:val="21"/>
                <w:lang w:val="en-US"/>
              </w:rPr>
              <w:t>2-4</w:t>
            </w:r>
            <w:r>
              <w:rPr>
                <w:rFonts w:hint="eastAsia" w:ascii="仿宋_GB2312" w:eastAsia="仿宋_GB2312"/>
                <w:szCs w:val="21"/>
                <w:lang w:val="en-US"/>
              </w:rPr>
              <w:t>项，</w:t>
            </w:r>
            <w:r>
              <w:rPr>
                <w:rFonts w:ascii="仿宋_GB2312" w:eastAsia="仿宋_GB2312"/>
                <w:szCs w:val="21"/>
                <w:lang w:val="en-US"/>
              </w:rPr>
              <w:t>5</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分。未达到提高实际效果者分数减半。</w:t>
            </w:r>
          </w:p>
        </w:tc>
        <w:tc>
          <w:tcPr>
            <w:tcW w:w="720" w:type="dxa"/>
            <w:vAlign w:val="center"/>
          </w:tcPr>
          <w:p>
            <w:pPr>
              <w:pStyle w:val="21"/>
              <w:spacing w:before="79"/>
              <w:ind w:left="14"/>
              <w:rPr>
                <w:rFonts w:ascii="仿宋_GB2312" w:eastAsia="仿宋_GB2312"/>
                <w:szCs w:val="21"/>
                <w:lang w:val="en-US"/>
              </w:rPr>
            </w:pPr>
            <w:r>
              <w:rPr>
                <w:rFonts w:ascii="仿宋_GB2312" w:eastAsia="仿宋_GB2312"/>
                <w:szCs w:val="21"/>
                <w:lang w:val="en-US"/>
              </w:rPr>
              <w:t>10</w:t>
            </w:r>
          </w:p>
        </w:tc>
        <w:tc>
          <w:tcPr>
            <w:tcW w:w="1260" w:type="dxa"/>
            <w:vMerge w:val="restart"/>
            <w:vAlign w:val="center"/>
          </w:tcPr>
          <w:p>
            <w:pPr>
              <w:pStyle w:val="21"/>
              <w:spacing w:before="79"/>
              <w:ind w:left="14"/>
              <w:jc w:val="center"/>
              <w:rPr>
                <w:rFonts w:ascii="仿宋_GB2312" w:eastAsia="仿宋_GB2312"/>
                <w:szCs w:val="21"/>
                <w:lang w:val="en-US"/>
              </w:rPr>
            </w:pPr>
            <w:r>
              <w:rPr>
                <w:rFonts w:hint="eastAsia" w:ascii="仿宋_GB2312" w:eastAsia="仿宋_GB2312"/>
                <w:szCs w:val="21"/>
                <w:lang w:val="en-US"/>
              </w:rPr>
              <w:t>市政府</w:t>
            </w:r>
          </w:p>
          <w:p>
            <w:pPr>
              <w:pStyle w:val="21"/>
              <w:spacing w:before="79"/>
              <w:ind w:left="14"/>
              <w:jc w:val="center"/>
              <w:rPr>
                <w:rFonts w:ascii="仿宋_GB2312" w:eastAsia="仿宋_GB2312"/>
                <w:szCs w:val="21"/>
                <w:lang w:val="en-US"/>
              </w:rPr>
            </w:pPr>
            <w:r>
              <w:rPr>
                <w:rFonts w:hint="eastAsia" w:ascii="仿宋_GB2312" w:eastAsia="仿宋_GB2312"/>
                <w:szCs w:val="21"/>
                <w:lang w:val="en-US"/>
              </w:rPr>
              <w:t>卫健委</w:t>
            </w:r>
          </w:p>
          <w:p>
            <w:pPr>
              <w:pStyle w:val="21"/>
              <w:spacing w:before="79"/>
              <w:ind w:left="14"/>
              <w:jc w:val="center"/>
              <w:rPr>
                <w:rFonts w:ascii="仿宋_GB2312" w:eastAsia="仿宋_GB2312"/>
                <w:szCs w:val="21"/>
                <w:lang w:val="en-US"/>
              </w:rPr>
            </w:pPr>
            <w:r>
              <w:rPr>
                <w:rFonts w:hint="eastAsia" w:ascii="仿宋_GB2312" w:eastAsia="仿宋_GB2312"/>
                <w:szCs w:val="21"/>
                <w:lang w:val="en-US"/>
              </w:rPr>
              <w:t>宣传部</w:t>
            </w:r>
          </w:p>
          <w:p>
            <w:pPr>
              <w:pStyle w:val="21"/>
              <w:spacing w:before="79"/>
              <w:ind w:left="14"/>
              <w:jc w:val="center"/>
              <w:rPr>
                <w:rFonts w:ascii="仿宋_GB2312" w:eastAsia="仿宋_GB2312"/>
                <w:szCs w:val="21"/>
                <w:lang w:val="en-US"/>
              </w:rPr>
            </w:pPr>
            <w:r>
              <w:rPr>
                <w:rFonts w:hint="eastAsia" w:ascii="仿宋_GB2312" w:eastAsia="仿宋_GB2312"/>
                <w:szCs w:val="21"/>
                <w:lang w:val="en-US"/>
              </w:rPr>
              <w:t>创建办</w:t>
            </w:r>
          </w:p>
          <w:p>
            <w:pPr>
              <w:pStyle w:val="21"/>
              <w:spacing w:before="79"/>
              <w:ind w:left="14"/>
              <w:jc w:val="center"/>
              <w:rPr>
                <w:rFonts w:ascii="仿宋_GB2312" w:eastAsia="仿宋_GB2312"/>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949" w:type="dxa"/>
            <w:vMerge w:val="continue"/>
          </w:tcPr>
          <w:p>
            <w:pPr>
              <w:pStyle w:val="21"/>
              <w:spacing w:line="560" w:lineRule="exact"/>
              <w:ind w:left="13"/>
              <w:rPr>
                <w:rFonts w:ascii="仿宋_GB2312" w:eastAsia="仿宋_GB2312"/>
                <w:szCs w:val="21"/>
              </w:rPr>
            </w:pPr>
          </w:p>
        </w:tc>
        <w:tc>
          <w:tcPr>
            <w:tcW w:w="1267" w:type="dxa"/>
            <w:vMerge w:val="continue"/>
            <w:vAlign w:val="center"/>
          </w:tcPr>
          <w:p>
            <w:pPr>
              <w:pStyle w:val="21"/>
              <w:spacing w:before="59" w:line="560" w:lineRule="exact"/>
              <w:ind w:left="13" w:right="3"/>
              <w:rPr>
                <w:rFonts w:ascii="仿宋_GB2312" w:eastAsia="仿宋_GB2312"/>
                <w:spacing w:val="-40"/>
                <w:szCs w:val="21"/>
              </w:rPr>
            </w:pPr>
          </w:p>
        </w:tc>
        <w:tc>
          <w:tcPr>
            <w:tcW w:w="3228" w:type="dxa"/>
            <w:vAlign w:val="center"/>
          </w:tcPr>
          <w:p>
            <w:pPr>
              <w:pStyle w:val="21"/>
              <w:spacing w:before="79" w:line="560" w:lineRule="exact"/>
              <w:ind w:left="14"/>
              <w:rPr>
                <w:rFonts w:ascii="仿宋_GB2312" w:eastAsia="仿宋_GB2312"/>
                <w:szCs w:val="21"/>
              </w:rPr>
            </w:pPr>
            <w:r>
              <w:rPr>
                <w:rFonts w:ascii="仿宋_GB2312" w:eastAsia="仿宋_GB2312"/>
                <w:szCs w:val="21"/>
                <w:lang w:val="en-US"/>
              </w:rPr>
              <w:t>2.</w:t>
            </w:r>
            <w:r>
              <w:rPr>
                <w:rFonts w:hint="eastAsia" w:ascii="仿宋_GB2312" w:eastAsia="仿宋_GB2312"/>
                <w:szCs w:val="21"/>
                <w:lang w:val="en-US"/>
              </w:rPr>
              <w:t>总结有创新、特色案例。</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创新特色案例达</w:t>
            </w:r>
            <w:r>
              <w:rPr>
                <w:rFonts w:ascii="仿宋_GB2312" w:eastAsia="仿宋_GB2312"/>
                <w:szCs w:val="21"/>
                <w:lang w:val="en-US"/>
              </w:rPr>
              <w:t>2</w:t>
            </w:r>
            <w:r>
              <w:rPr>
                <w:rFonts w:hint="eastAsia" w:ascii="仿宋_GB2312" w:eastAsia="仿宋_GB2312"/>
                <w:szCs w:val="21"/>
                <w:lang w:val="en-US"/>
              </w:rPr>
              <w:t>个，案例撰写符合要求，</w:t>
            </w:r>
            <w:r>
              <w:rPr>
                <w:rFonts w:ascii="仿宋_GB2312" w:eastAsia="仿宋_GB2312"/>
                <w:szCs w:val="21"/>
                <w:lang w:val="en-US"/>
              </w:rPr>
              <w:t>15</w:t>
            </w:r>
            <w:r>
              <w:rPr>
                <w:rFonts w:hint="eastAsia" w:ascii="仿宋_GB2312" w:eastAsia="仿宋_GB2312"/>
                <w:szCs w:val="21"/>
                <w:lang w:val="en-US"/>
              </w:rPr>
              <w:t>分；</w:t>
            </w:r>
            <w:r>
              <w:rPr>
                <w:rFonts w:ascii="仿宋_GB2312" w:eastAsia="仿宋_GB2312"/>
                <w:szCs w:val="21"/>
                <w:lang w:val="en-US"/>
              </w:rPr>
              <w:t>1</w:t>
            </w:r>
            <w:r>
              <w:rPr>
                <w:rFonts w:hint="eastAsia" w:ascii="仿宋_GB2312" w:eastAsia="仿宋_GB2312"/>
                <w:szCs w:val="21"/>
                <w:lang w:val="en-US"/>
              </w:rPr>
              <w:t>个，</w:t>
            </w:r>
            <w:r>
              <w:rPr>
                <w:rFonts w:ascii="仿宋_GB2312" w:eastAsia="仿宋_GB2312"/>
                <w:szCs w:val="21"/>
                <w:lang w:val="en-US"/>
              </w:rPr>
              <w:t>10</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分。案例撰写不符合要求者分数减半。</w:t>
            </w:r>
          </w:p>
          <w:p>
            <w:pPr>
              <w:pStyle w:val="21"/>
              <w:spacing w:before="79"/>
              <w:ind w:left="14"/>
              <w:rPr>
                <w:rFonts w:ascii="仿宋_GB2312" w:eastAsia="仿宋_GB2312"/>
                <w:szCs w:val="21"/>
                <w:lang w:val="en-US"/>
              </w:rPr>
            </w:pPr>
            <w:r>
              <w:rPr>
                <w:rFonts w:hint="eastAsia" w:ascii="仿宋_GB2312" w:eastAsia="仿宋_GB2312"/>
                <w:szCs w:val="21"/>
                <w:lang w:val="en-US"/>
              </w:rPr>
              <w:t>复审：区别于创建年份的创新特色案例达到</w:t>
            </w:r>
            <w:r>
              <w:rPr>
                <w:rFonts w:ascii="仿宋_GB2312" w:eastAsia="仿宋_GB2312"/>
                <w:szCs w:val="21"/>
                <w:lang w:val="en-US"/>
              </w:rPr>
              <w:t>3</w:t>
            </w:r>
            <w:r>
              <w:rPr>
                <w:rFonts w:hint="eastAsia" w:ascii="仿宋_GB2312" w:eastAsia="仿宋_GB2312"/>
                <w:szCs w:val="21"/>
                <w:lang w:val="en-US"/>
              </w:rPr>
              <w:t>个，撰写符合要求，</w:t>
            </w:r>
            <w:r>
              <w:rPr>
                <w:rFonts w:ascii="仿宋_GB2312" w:eastAsia="仿宋_GB2312"/>
                <w:szCs w:val="21"/>
                <w:lang w:val="en-US"/>
              </w:rPr>
              <w:t>15</w:t>
            </w:r>
            <w:r>
              <w:rPr>
                <w:rFonts w:hint="eastAsia" w:ascii="仿宋_GB2312" w:eastAsia="仿宋_GB2312"/>
                <w:szCs w:val="21"/>
                <w:lang w:val="en-US"/>
              </w:rPr>
              <w:t>分；</w:t>
            </w:r>
            <w:r>
              <w:rPr>
                <w:rFonts w:ascii="仿宋_GB2312" w:eastAsia="仿宋_GB2312"/>
                <w:szCs w:val="21"/>
                <w:lang w:val="en-US"/>
              </w:rPr>
              <w:t>2</w:t>
            </w:r>
            <w:r>
              <w:rPr>
                <w:rFonts w:hint="eastAsia" w:ascii="仿宋_GB2312" w:eastAsia="仿宋_GB2312"/>
                <w:szCs w:val="21"/>
                <w:lang w:val="en-US"/>
              </w:rPr>
              <w:t>个，</w:t>
            </w:r>
            <w:r>
              <w:rPr>
                <w:rFonts w:ascii="仿宋_GB2312" w:eastAsia="仿宋_GB2312"/>
                <w:szCs w:val="21"/>
                <w:lang w:val="en-US"/>
              </w:rPr>
              <w:t>10</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分。案例撰写不符合要求者分数减半。</w:t>
            </w:r>
          </w:p>
          <w:p>
            <w:pPr>
              <w:pStyle w:val="21"/>
              <w:spacing w:before="79"/>
              <w:ind w:left="14"/>
              <w:rPr>
                <w:rFonts w:ascii="仿宋_GB2312" w:eastAsia="仿宋_GB2312"/>
                <w:szCs w:val="21"/>
              </w:rPr>
            </w:pPr>
            <w:r>
              <w:rPr>
                <w:rFonts w:hint="eastAsia" w:ascii="仿宋_GB2312" w:eastAsia="仿宋_GB2312"/>
                <w:szCs w:val="21"/>
                <w:lang w:val="en-US"/>
              </w:rPr>
              <w:t>案例撰写要求包括：主题鲜明突出防控重点、技术流程清晰逻辑性强、特色突出创新意识明显、易于被推广可操作性强。</w:t>
            </w:r>
          </w:p>
        </w:tc>
        <w:tc>
          <w:tcPr>
            <w:tcW w:w="720" w:type="dxa"/>
            <w:vAlign w:val="center"/>
          </w:tcPr>
          <w:p>
            <w:pPr>
              <w:pStyle w:val="21"/>
              <w:spacing w:before="182" w:line="560" w:lineRule="exact"/>
              <w:ind w:left="69" w:right="62"/>
              <w:jc w:val="center"/>
              <w:rPr>
                <w:rFonts w:ascii="仿宋_GB2312" w:eastAsia="仿宋_GB2312"/>
                <w:szCs w:val="21"/>
              </w:rPr>
            </w:pPr>
            <w:r>
              <w:rPr>
                <w:rFonts w:ascii="仿宋_GB2312" w:eastAsia="仿宋_GB2312"/>
                <w:szCs w:val="21"/>
              </w:rPr>
              <w:t>15</w:t>
            </w:r>
          </w:p>
        </w:tc>
        <w:tc>
          <w:tcPr>
            <w:tcW w:w="1260" w:type="dxa"/>
            <w:vMerge w:val="continue"/>
            <w:vAlign w:val="center"/>
          </w:tcPr>
          <w:p>
            <w:pPr>
              <w:pStyle w:val="21"/>
              <w:spacing w:line="560" w:lineRule="exact"/>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7" w:hRule="atLeast"/>
          <w:jc w:val="center"/>
        </w:trPr>
        <w:tc>
          <w:tcPr>
            <w:tcW w:w="949" w:type="dxa"/>
            <w:vAlign w:val="center"/>
          </w:tcPr>
          <w:p>
            <w:pPr>
              <w:pStyle w:val="21"/>
              <w:spacing w:line="280" w:lineRule="exact"/>
              <w:ind w:left="14"/>
              <w:rPr>
                <w:rFonts w:ascii="仿宋_GB2312" w:eastAsia="仿宋_GB2312"/>
                <w:szCs w:val="21"/>
                <w:lang w:val="en-US"/>
              </w:rPr>
            </w:pPr>
            <w:r>
              <w:rPr>
                <w:rFonts w:hint="eastAsia" w:ascii="仿宋_GB2312" w:eastAsia="仿宋_GB2312"/>
                <w:szCs w:val="21"/>
                <w:lang w:val="en-US"/>
              </w:rPr>
              <w:t>八、创新引领</w:t>
            </w:r>
          </w:p>
          <w:p>
            <w:pPr>
              <w:pStyle w:val="21"/>
              <w:spacing w:line="280" w:lineRule="exact"/>
              <w:ind w:left="13"/>
              <w:rPr>
                <w:rFonts w:ascii="仿宋_GB2312" w:eastAsia="仿宋_GB2312"/>
                <w:szCs w:val="21"/>
              </w:rPr>
            </w:pPr>
            <w:r>
              <w:rPr>
                <w:rFonts w:hint="eastAsia" w:ascii="仿宋_GB2312" w:eastAsia="仿宋_GB2312"/>
                <w:szCs w:val="21"/>
                <w:lang w:val="en-US"/>
              </w:rPr>
              <w:t>（</w:t>
            </w:r>
            <w:r>
              <w:rPr>
                <w:rFonts w:ascii="仿宋_GB2312" w:eastAsia="仿宋_GB2312"/>
                <w:szCs w:val="21"/>
                <w:lang w:val="en-US"/>
              </w:rPr>
              <w:t>35</w:t>
            </w:r>
            <w:r>
              <w:rPr>
                <w:rFonts w:hint="eastAsia" w:ascii="仿宋_GB2312" w:eastAsia="仿宋_GB2312"/>
                <w:szCs w:val="21"/>
                <w:lang w:val="en-US"/>
              </w:rPr>
              <w:t>分）</w:t>
            </w:r>
          </w:p>
        </w:tc>
        <w:tc>
          <w:tcPr>
            <w:tcW w:w="1267" w:type="dxa"/>
            <w:vAlign w:val="center"/>
          </w:tcPr>
          <w:p>
            <w:pPr>
              <w:pStyle w:val="21"/>
              <w:spacing w:line="280" w:lineRule="exact"/>
              <w:ind w:left="14"/>
              <w:rPr>
                <w:rFonts w:ascii="仿宋_GB2312" w:eastAsia="仿宋_GB2312"/>
                <w:szCs w:val="21"/>
                <w:lang w:val="en-US"/>
              </w:rPr>
            </w:pPr>
            <w:r>
              <w:rPr>
                <w:rFonts w:hint="eastAsia" w:ascii="仿宋_GB2312" w:eastAsia="仿宋_GB2312"/>
                <w:szCs w:val="21"/>
                <w:lang w:val="en-US"/>
              </w:rPr>
              <w:t>慢性病综合防控工作有特色、可复制、可推广</w:t>
            </w:r>
          </w:p>
          <w:p>
            <w:pPr>
              <w:pStyle w:val="21"/>
              <w:spacing w:line="280" w:lineRule="exact"/>
              <w:ind w:left="11" w:right="6"/>
              <w:rPr>
                <w:rFonts w:ascii="仿宋_GB2312" w:eastAsia="仿宋_GB2312"/>
                <w:spacing w:val="-40"/>
                <w:szCs w:val="21"/>
              </w:rPr>
            </w:pPr>
            <w:r>
              <w:rPr>
                <w:rFonts w:hint="eastAsia" w:ascii="仿宋_GB2312" w:eastAsia="仿宋_GB2312"/>
                <w:szCs w:val="21"/>
                <w:lang w:val="en-US"/>
              </w:rPr>
              <w:t>（</w:t>
            </w:r>
            <w:r>
              <w:rPr>
                <w:rFonts w:ascii="仿宋_GB2312" w:eastAsia="仿宋_GB2312"/>
                <w:szCs w:val="21"/>
                <w:lang w:val="en-US"/>
              </w:rPr>
              <w:t xml:space="preserve">35 </w:t>
            </w:r>
            <w:r>
              <w:rPr>
                <w:rFonts w:hint="eastAsia" w:ascii="仿宋_GB2312" w:eastAsia="仿宋_GB2312"/>
                <w:szCs w:val="21"/>
                <w:lang w:val="en-US"/>
              </w:rPr>
              <w:t>分）</w:t>
            </w:r>
          </w:p>
        </w:tc>
        <w:tc>
          <w:tcPr>
            <w:tcW w:w="3228" w:type="dxa"/>
            <w:vAlign w:val="center"/>
          </w:tcPr>
          <w:p>
            <w:pPr>
              <w:pStyle w:val="21"/>
              <w:spacing w:before="79"/>
              <w:ind w:left="14"/>
              <w:rPr>
                <w:rFonts w:ascii="仿宋_GB2312" w:eastAsia="仿宋_GB2312"/>
                <w:szCs w:val="21"/>
              </w:rPr>
            </w:pPr>
            <w:r>
              <w:rPr>
                <w:rFonts w:ascii="仿宋_GB2312" w:eastAsia="仿宋_GB2312"/>
                <w:szCs w:val="21"/>
                <w:lang w:val="en-US"/>
              </w:rPr>
              <w:t>3.</w:t>
            </w:r>
            <w:r>
              <w:rPr>
                <w:rFonts w:hint="eastAsia" w:ascii="仿宋_GB2312" w:eastAsia="仿宋_GB2312"/>
                <w:szCs w:val="21"/>
                <w:lang w:val="en-US"/>
              </w:rPr>
              <w:t>示范区建设成功经验起到示范引领作用。</w:t>
            </w:r>
          </w:p>
        </w:tc>
        <w:tc>
          <w:tcPr>
            <w:tcW w:w="6869" w:type="dxa"/>
            <w:vAlign w:val="center"/>
          </w:tcPr>
          <w:p>
            <w:pPr>
              <w:pStyle w:val="21"/>
              <w:spacing w:before="79"/>
              <w:ind w:left="14"/>
              <w:rPr>
                <w:rFonts w:ascii="仿宋_GB2312" w:eastAsia="仿宋_GB2312"/>
                <w:szCs w:val="21"/>
                <w:lang w:val="en-US"/>
              </w:rPr>
            </w:pPr>
            <w:r>
              <w:rPr>
                <w:rFonts w:hint="eastAsia" w:ascii="仿宋_GB2312" w:eastAsia="仿宋_GB2312"/>
                <w:szCs w:val="21"/>
                <w:lang w:val="en-US"/>
              </w:rPr>
              <w:t>（</w:t>
            </w:r>
            <w:r>
              <w:rPr>
                <w:rFonts w:ascii="仿宋_GB2312" w:eastAsia="仿宋_GB2312"/>
                <w:szCs w:val="21"/>
                <w:lang w:val="en-US"/>
              </w:rPr>
              <w:t>1</w:t>
            </w:r>
            <w:r>
              <w:rPr>
                <w:rFonts w:hint="eastAsia" w:ascii="仿宋_GB2312" w:eastAsia="仿宋_GB2312"/>
                <w:szCs w:val="21"/>
                <w:lang w:val="en-US"/>
              </w:rPr>
              <w:t>）示范区建设成功经验在本辖区得到有效推广应用</w:t>
            </w:r>
            <w:r>
              <w:rPr>
                <w:rFonts w:ascii="仿宋_GB2312" w:eastAsia="仿宋_GB2312"/>
                <w:szCs w:val="21"/>
                <w:lang w:val="en-US"/>
              </w:rPr>
              <w:t>2</w:t>
            </w:r>
            <w:r>
              <w:rPr>
                <w:rFonts w:hint="eastAsia" w:ascii="仿宋_GB2312" w:eastAsia="仿宋_GB2312"/>
                <w:szCs w:val="21"/>
                <w:lang w:val="en-US"/>
              </w:rPr>
              <w:t>项及以上，</w:t>
            </w:r>
            <w:r>
              <w:rPr>
                <w:rFonts w:ascii="仿宋_GB2312" w:eastAsia="仿宋_GB2312"/>
                <w:szCs w:val="21"/>
                <w:lang w:val="en-US"/>
              </w:rPr>
              <w:t>5</w:t>
            </w:r>
            <w:r>
              <w:rPr>
                <w:rFonts w:hint="eastAsia" w:ascii="仿宋_GB2312" w:eastAsia="仿宋_GB2312"/>
                <w:szCs w:val="21"/>
                <w:lang w:val="en-US"/>
              </w:rPr>
              <w:t>分；</w:t>
            </w:r>
            <w:r>
              <w:rPr>
                <w:rFonts w:ascii="仿宋_GB2312" w:eastAsia="仿宋_GB2312"/>
                <w:szCs w:val="21"/>
                <w:lang w:val="en-US"/>
              </w:rPr>
              <w:t>1</w:t>
            </w:r>
            <w:r>
              <w:rPr>
                <w:rFonts w:hint="eastAsia" w:ascii="仿宋_GB2312" w:eastAsia="仿宋_GB2312"/>
                <w:szCs w:val="21"/>
                <w:lang w:val="en-US"/>
              </w:rPr>
              <w:t>项，</w:t>
            </w:r>
            <w:r>
              <w:rPr>
                <w:rFonts w:ascii="仿宋_GB2312" w:eastAsia="仿宋_GB2312"/>
                <w:szCs w:val="21"/>
                <w:lang w:val="en-US"/>
              </w:rPr>
              <w:t>2</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p>
            <w:pPr>
              <w:pStyle w:val="21"/>
              <w:spacing w:before="79"/>
              <w:ind w:left="14"/>
              <w:rPr>
                <w:rFonts w:ascii="仿宋_GB2312" w:eastAsia="仿宋_GB2312"/>
                <w:szCs w:val="21"/>
              </w:rPr>
            </w:pPr>
            <w:r>
              <w:rPr>
                <w:rFonts w:hint="eastAsia" w:ascii="仿宋_GB2312" w:eastAsia="仿宋_GB2312"/>
                <w:szCs w:val="21"/>
                <w:lang w:val="en-US"/>
              </w:rPr>
              <w:t>（</w:t>
            </w:r>
            <w:r>
              <w:rPr>
                <w:rFonts w:ascii="仿宋_GB2312" w:eastAsia="仿宋_GB2312"/>
                <w:szCs w:val="21"/>
                <w:lang w:val="en-US"/>
              </w:rPr>
              <w:t>2</w:t>
            </w:r>
            <w:r>
              <w:rPr>
                <w:rFonts w:hint="eastAsia" w:ascii="仿宋_GB2312" w:eastAsia="仿宋_GB2312"/>
                <w:szCs w:val="21"/>
                <w:lang w:val="en-US"/>
              </w:rPr>
              <w:t>）示范区建设成功经验在辖区外得到有效推广应用</w:t>
            </w:r>
            <w:r>
              <w:rPr>
                <w:rFonts w:ascii="仿宋_GB2312" w:eastAsia="仿宋_GB2312"/>
                <w:szCs w:val="21"/>
                <w:lang w:val="en-US"/>
              </w:rPr>
              <w:t>2</w:t>
            </w:r>
            <w:r>
              <w:rPr>
                <w:rFonts w:hint="eastAsia" w:ascii="仿宋_GB2312" w:eastAsia="仿宋_GB2312"/>
                <w:szCs w:val="21"/>
                <w:lang w:val="en-US"/>
              </w:rPr>
              <w:t>项及以上，</w:t>
            </w:r>
            <w:r>
              <w:rPr>
                <w:rFonts w:ascii="仿宋_GB2312" w:eastAsia="仿宋_GB2312"/>
                <w:szCs w:val="21"/>
                <w:lang w:val="en-US"/>
              </w:rPr>
              <w:t>5</w:t>
            </w:r>
            <w:r>
              <w:rPr>
                <w:rFonts w:hint="eastAsia" w:ascii="仿宋_GB2312" w:eastAsia="仿宋_GB2312"/>
                <w:szCs w:val="21"/>
                <w:lang w:val="en-US"/>
              </w:rPr>
              <w:t>分；</w:t>
            </w:r>
            <w:r>
              <w:rPr>
                <w:rFonts w:ascii="仿宋_GB2312" w:eastAsia="仿宋_GB2312"/>
                <w:szCs w:val="21"/>
                <w:lang w:val="en-US"/>
              </w:rPr>
              <w:t>1</w:t>
            </w:r>
            <w:r>
              <w:rPr>
                <w:rFonts w:hint="eastAsia" w:ascii="仿宋_GB2312" w:eastAsia="仿宋_GB2312"/>
                <w:szCs w:val="21"/>
                <w:lang w:val="en-US"/>
              </w:rPr>
              <w:t>项，</w:t>
            </w:r>
            <w:r>
              <w:rPr>
                <w:rFonts w:ascii="仿宋_GB2312" w:eastAsia="仿宋_GB2312"/>
                <w:szCs w:val="21"/>
                <w:lang w:val="en-US"/>
              </w:rPr>
              <w:t>2</w:t>
            </w:r>
            <w:r>
              <w:rPr>
                <w:rFonts w:hint="eastAsia" w:ascii="仿宋_GB2312" w:eastAsia="仿宋_GB2312"/>
                <w:szCs w:val="21"/>
                <w:lang w:val="en-US"/>
              </w:rPr>
              <w:t>分；其余</w:t>
            </w:r>
            <w:r>
              <w:rPr>
                <w:rFonts w:ascii="仿宋_GB2312" w:eastAsia="仿宋_GB2312"/>
                <w:szCs w:val="21"/>
                <w:lang w:val="en-US"/>
              </w:rPr>
              <w:t>0</w:t>
            </w:r>
            <w:r>
              <w:rPr>
                <w:rFonts w:hint="eastAsia" w:ascii="仿宋_GB2312" w:eastAsia="仿宋_GB2312"/>
                <w:szCs w:val="21"/>
                <w:lang w:val="en-US"/>
              </w:rPr>
              <w:t>分。</w:t>
            </w:r>
          </w:p>
        </w:tc>
        <w:tc>
          <w:tcPr>
            <w:tcW w:w="720" w:type="dxa"/>
            <w:vAlign w:val="center"/>
          </w:tcPr>
          <w:p>
            <w:pPr>
              <w:pStyle w:val="21"/>
              <w:spacing w:before="182" w:line="560" w:lineRule="exact"/>
              <w:ind w:left="69" w:right="62"/>
              <w:jc w:val="center"/>
              <w:rPr>
                <w:rFonts w:ascii="仿宋_GB2312" w:eastAsia="仿宋_GB2312"/>
                <w:szCs w:val="21"/>
              </w:rPr>
            </w:pPr>
            <w:r>
              <w:rPr>
                <w:rFonts w:ascii="仿宋_GB2312" w:eastAsia="仿宋_GB2312"/>
                <w:szCs w:val="21"/>
              </w:rPr>
              <w:t>10</w:t>
            </w:r>
          </w:p>
        </w:tc>
        <w:tc>
          <w:tcPr>
            <w:tcW w:w="1260" w:type="dxa"/>
            <w:vMerge w:val="continue"/>
            <w:vAlign w:val="center"/>
          </w:tcPr>
          <w:p>
            <w:pPr>
              <w:pStyle w:val="21"/>
              <w:spacing w:line="560" w:lineRule="exact"/>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jc w:val="center"/>
        </w:trPr>
        <w:tc>
          <w:tcPr>
            <w:tcW w:w="949" w:type="dxa"/>
          </w:tcPr>
          <w:p>
            <w:pPr>
              <w:pStyle w:val="21"/>
              <w:spacing w:before="198"/>
              <w:jc w:val="center"/>
              <w:rPr>
                <w:rFonts w:ascii="仿宋_GB2312" w:eastAsia="仿宋_GB2312"/>
                <w:szCs w:val="21"/>
              </w:rPr>
            </w:pPr>
            <w:r>
              <w:rPr>
                <w:rFonts w:hint="eastAsia" w:ascii="仿宋_GB2312" w:eastAsia="仿宋_GB2312"/>
                <w:szCs w:val="21"/>
              </w:rPr>
              <w:t>合计</w:t>
            </w:r>
          </w:p>
        </w:tc>
        <w:tc>
          <w:tcPr>
            <w:tcW w:w="1267" w:type="dxa"/>
          </w:tcPr>
          <w:p>
            <w:pPr>
              <w:pStyle w:val="21"/>
              <w:spacing w:before="198"/>
              <w:ind w:left="13" w:right="3"/>
              <w:jc w:val="center"/>
              <w:rPr>
                <w:rFonts w:ascii="仿宋_GB2312" w:eastAsia="仿宋_GB2312"/>
                <w:szCs w:val="21"/>
              </w:rPr>
            </w:pPr>
            <w:r>
              <w:rPr>
                <w:rFonts w:ascii="仿宋_GB2312" w:eastAsia="仿宋_GB2312"/>
                <w:szCs w:val="21"/>
              </w:rPr>
              <w:t>300</w:t>
            </w:r>
          </w:p>
        </w:tc>
        <w:tc>
          <w:tcPr>
            <w:tcW w:w="3228" w:type="dxa"/>
          </w:tcPr>
          <w:p>
            <w:pPr>
              <w:pStyle w:val="21"/>
              <w:spacing w:before="79"/>
              <w:ind w:left="14"/>
              <w:jc w:val="center"/>
              <w:rPr>
                <w:rFonts w:ascii="仿宋_GB2312" w:eastAsia="仿宋_GB2312"/>
                <w:szCs w:val="21"/>
                <w:lang w:val="en-US"/>
              </w:rPr>
            </w:pPr>
          </w:p>
        </w:tc>
        <w:tc>
          <w:tcPr>
            <w:tcW w:w="6869" w:type="dxa"/>
          </w:tcPr>
          <w:p>
            <w:pPr>
              <w:pStyle w:val="21"/>
              <w:spacing w:before="79"/>
              <w:jc w:val="center"/>
              <w:rPr>
                <w:rFonts w:ascii="仿宋_GB2312" w:eastAsia="仿宋_GB2312"/>
                <w:szCs w:val="21"/>
                <w:lang w:val="en-US"/>
              </w:rPr>
            </w:pPr>
          </w:p>
        </w:tc>
        <w:tc>
          <w:tcPr>
            <w:tcW w:w="720" w:type="dxa"/>
          </w:tcPr>
          <w:p>
            <w:pPr>
              <w:pStyle w:val="21"/>
              <w:spacing w:before="182"/>
              <w:ind w:right="62"/>
              <w:jc w:val="center"/>
              <w:rPr>
                <w:rFonts w:ascii="仿宋_GB2312" w:eastAsia="仿宋_GB2312"/>
                <w:szCs w:val="21"/>
              </w:rPr>
            </w:pPr>
          </w:p>
        </w:tc>
        <w:tc>
          <w:tcPr>
            <w:tcW w:w="1260" w:type="dxa"/>
            <w:vAlign w:val="center"/>
          </w:tcPr>
          <w:p>
            <w:pPr>
              <w:pStyle w:val="21"/>
              <w:rPr>
                <w:rFonts w:ascii="仿宋_GB2312" w:eastAsia="仿宋_GB2312"/>
                <w:szCs w:val="21"/>
              </w:rPr>
            </w:pPr>
          </w:p>
        </w:tc>
      </w:tr>
    </w:tbl>
    <w:p>
      <w:pPr>
        <w:pStyle w:val="3"/>
        <w:spacing w:line="560" w:lineRule="exact"/>
        <w:rPr>
          <w:rFonts w:ascii="仿宋" w:hAnsi="仿宋" w:eastAsia="仿宋" w:cs="仿宋"/>
          <w:color w:val="3E383A"/>
        </w:rPr>
      </w:pPr>
      <w:r>
        <w:rPr>
          <w:lang w:val="en-US"/>
        </w:rPr>
        <w:pict>
          <v:shape id="_x0000_s1026" o:spid="_x0000_s1026" o:spt="202" type="#_x0000_t202" style="position:absolute;left:0pt;margin-left:63.35pt;margin-top:8.6pt;height:7.85pt;width:13.5pt;mso-position-horizontal-relative:page;z-index:251659264;mso-width-relative:page;mso-height-relative:page;" filled="f" stroked="f" coordsize="21600,21600" o:gfxdata="UEsDBAoAAAAAAIdO4kAAAAAAAAAAAAAAAAAEAAAAZHJzL1BLAwQUAAAACACHTuJACpVokNgAAAAJ&#10;AQAADwAAAGRycy9kb3ducmV2LnhtbE2PzU7DMBCE70i8g7VI3KjdVKQ0jVMhBCckRBoOPTrxNoka&#10;r0Ps/vD2bE9w29kdzX6Tby5uECecQu9Jw3ymQCA13vbUaviq3h6eQIRoyJrBE2r4wQCb4vYmN5n1&#10;ZyrxtI2t4BAKmdHQxThmUoamQ2fCzI9IfNv7yZnIcmqlncyZw90gE6VS6UxP/KEzI7502By2R6fh&#10;eUfla//9UX+W+7KvqpWi9/Sg9f3dXK1BRLzEPzNc8RkdCmaq/ZFsEAPrJF2ylYdlAuJqeFzwotaw&#10;SFYgi1z+b1D8AlBLAwQUAAAACACHTuJA7oqZkdEBAACjAwAADgAAAGRycy9lMm9Eb2MueG1srVPB&#10;jtMwEL0j8Q+W7zTtLrvQqOlKUC1CQoC08AGu4zSWbI81dpuUD4A/4MSFO9/V72DsJGVZLnvgkoxn&#10;xm/mvRmvbnpr2EFh0OAqvpjNOVNOQq3druKfP90+e8lZiMLVwoBTFT+qwG/WT5+sOl+qC2jB1AoZ&#10;gbhQdr7ibYy+LIogW2VFmIFXjoINoBWRjrgrahQdoVtTXMzn10UHWHsEqUIg72YI8hERHwMITaOl&#10;2oDcW+XigIrKiEiUQqt94OvcbdMoGT80TVCRmYoT05i/VITsbfoW65Uodyh8q+XYgnhMCw84WaEd&#10;FT1DbUQUbI/6HyirJUKAJs4k2GIgkhUhFov5A23uWuFV5kJSB38WPfw/WPn+8BGZrit+yZkTlgZ+&#10;+v7t9OPX6edXdpnk6XwoKevOU17sX0FPSzP5AzkT675Bm/7Eh1GcxD2exVV9ZDJderF4fkURSaHl&#10;8np5lUCKP3c9hvhGgWXJqDjS6LKi4vAuxCF1SkmlHNxqY/L4jPvLQZiDR+X5j7cTjaHdZMV+24/c&#10;tlAfiRq9CKraAn7hzLx1JHFal8nAydhOhnCSkiseORvM13FYq71HvWsJK6tUpGo0u0x13LO0HPfP&#10;ZN9/W+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pVokNgAAAAJAQAADwAAAAAAAAABACAAAAAi&#10;AAAAZHJzL2Rvd25yZXYueG1sUEsBAhQAFAAAAAgAh07iQO6KmZHRAQAAowMAAA4AAAAAAAAAAQAg&#10;AAAAJwEAAGRycy9lMm9Eb2MueG1sUEsFBgAAAAAGAAYAWQEAAGoFAAAAAA==&#10;">
            <v:path/>
            <v:fill on="f" focussize="0,0"/>
            <v:stroke on="f" joinstyle="miter"/>
            <v:imagedata o:title=""/>
            <o:lock v:ext="edit"/>
            <v:textbox inset="0mm,0mm,0mm,0mm">
              <w:txbxContent>
                <w:p/>
              </w:txbxContent>
            </v:textbox>
          </v:shape>
        </w:pict>
      </w:r>
    </w:p>
    <w:sectPr>
      <w:footerReference r:id="rId5" w:type="default"/>
      <w:pgSz w:w="16838" w:h="11906" w:orient="landscape"/>
      <w:pgMar w:top="1418" w:right="1985" w:bottom="1418" w:left="1701" w:header="851" w:footer="1361"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琥珀">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Fonts w:asci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- 14 -</w:t>
    </w:r>
    <w:r>
      <w:rPr>
        <w:rStyle w:val="11"/>
        <w:rFonts w:ascii="宋体" w:hAnsi="宋体"/>
        <w:sz w:val="28"/>
        <w:szCs w:val="28"/>
      </w:rPr>
      <w:fldChar w:fldCharType="end"/>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Fonts w:ascii="宋体"/>
        <w:sz w:val="24"/>
      </w:rPr>
    </w:pPr>
    <w:r>
      <w:rPr>
        <w:rStyle w:val="11"/>
        <w:rFonts w:ascii="宋体" w:hAnsi="宋体"/>
        <w:sz w:val="24"/>
      </w:rPr>
      <w:fldChar w:fldCharType="begin"/>
    </w:r>
    <w:r>
      <w:rPr>
        <w:rStyle w:val="11"/>
        <w:rFonts w:ascii="宋体" w:hAnsi="宋体"/>
        <w:sz w:val="24"/>
      </w:rPr>
      <w:instrText xml:space="preserve">PAGE  </w:instrText>
    </w:r>
    <w:r>
      <w:rPr>
        <w:rStyle w:val="11"/>
        <w:rFonts w:ascii="宋体" w:hAnsi="宋体"/>
        <w:sz w:val="24"/>
      </w:rPr>
      <w:fldChar w:fldCharType="separate"/>
    </w:r>
    <w:r>
      <w:rPr>
        <w:rStyle w:val="11"/>
        <w:rFonts w:ascii="宋体" w:hAnsi="宋体"/>
        <w:sz w:val="24"/>
      </w:rPr>
      <w:t>- 25 -</w:t>
    </w:r>
    <w:r>
      <w:rPr>
        <w:rStyle w:val="11"/>
        <w:rFonts w:ascii="宋体" w:hAnsi="宋体"/>
        <w:sz w:val="24"/>
      </w:rPr>
      <w:fldChar w:fldCharType="end"/>
    </w:r>
  </w:p>
  <w:p>
    <w:pPr>
      <w:pStyle w:val="3"/>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2C75560"/>
    <w:rsid w:val="00007664"/>
    <w:rsid w:val="00062676"/>
    <w:rsid w:val="0011140C"/>
    <w:rsid w:val="00174A1A"/>
    <w:rsid w:val="002052FF"/>
    <w:rsid w:val="002240F9"/>
    <w:rsid w:val="002A2B22"/>
    <w:rsid w:val="003023B5"/>
    <w:rsid w:val="00436185"/>
    <w:rsid w:val="00455916"/>
    <w:rsid w:val="00471424"/>
    <w:rsid w:val="004E708D"/>
    <w:rsid w:val="00502DBA"/>
    <w:rsid w:val="0063186C"/>
    <w:rsid w:val="006D3DEE"/>
    <w:rsid w:val="006D5C5C"/>
    <w:rsid w:val="006E0A3F"/>
    <w:rsid w:val="006F3A15"/>
    <w:rsid w:val="00726C4D"/>
    <w:rsid w:val="00775326"/>
    <w:rsid w:val="007D47EA"/>
    <w:rsid w:val="00817A81"/>
    <w:rsid w:val="008A6E9C"/>
    <w:rsid w:val="00945282"/>
    <w:rsid w:val="009D0442"/>
    <w:rsid w:val="009F013A"/>
    <w:rsid w:val="00A70164"/>
    <w:rsid w:val="00B321CF"/>
    <w:rsid w:val="00BE12CB"/>
    <w:rsid w:val="00BE173B"/>
    <w:rsid w:val="00CC5017"/>
    <w:rsid w:val="00D3677C"/>
    <w:rsid w:val="00DB31C1"/>
    <w:rsid w:val="00DC4614"/>
    <w:rsid w:val="00E1654E"/>
    <w:rsid w:val="00E920D3"/>
    <w:rsid w:val="00ED405D"/>
    <w:rsid w:val="00ED6B3B"/>
    <w:rsid w:val="00F34568"/>
    <w:rsid w:val="00F566C3"/>
    <w:rsid w:val="010F6AF2"/>
    <w:rsid w:val="011E7802"/>
    <w:rsid w:val="01694450"/>
    <w:rsid w:val="01984A95"/>
    <w:rsid w:val="01AE3CC9"/>
    <w:rsid w:val="01B26849"/>
    <w:rsid w:val="01C74956"/>
    <w:rsid w:val="02033726"/>
    <w:rsid w:val="020437DB"/>
    <w:rsid w:val="0205668F"/>
    <w:rsid w:val="020A38FA"/>
    <w:rsid w:val="02181398"/>
    <w:rsid w:val="02571B55"/>
    <w:rsid w:val="0268193B"/>
    <w:rsid w:val="02796924"/>
    <w:rsid w:val="029A3A24"/>
    <w:rsid w:val="02C010EA"/>
    <w:rsid w:val="02FE1BB2"/>
    <w:rsid w:val="032569BB"/>
    <w:rsid w:val="032C1EEB"/>
    <w:rsid w:val="03394A1E"/>
    <w:rsid w:val="033A58BF"/>
    <w:rsid w:val="037364AD"/>
    <w:rsid w:val="03972C0B"/>
    <w:rsid w:val="03BC2E05"/>
    <w:rsid w:val="041A15BF"/>
    <w:rsid w:val="042D6299"/>
    <w:rsid w:val="045B6CBB"/>
    <w:rsid w:val="04602EDD"/>
    <w:rsid w:val="047C31F0"/>
    <w:rsid w:val="04FB0ABE"/>
    <w:rsid w:val="05080732"/>
    <w:rsid w:val="05126A3E"/>
    <w:rsid w:val="05226B50"/>
    <w:rsid w:val="05885D76"/>
    <w:rsid w:val="05EB3117"/>
    <w:rsid w:val="05F921DD"/>
    <w:rsid w:val="064C5349"/>
    <w:rsid w:val="065A0828"/>
    <w:rsid w:val="067116A5"/>
    <w:rsid w:val="06987E64"/>
    <w:rsid w:val="06B2426F"/>
    <w:rsid w:val="06D023B6"/>
    <w:rsid w:val="06D1324F"/>
    <w:rsid w:val="06EC1D7A"/>
    <w:rsid w:val="06F16496"/>
    <w:rsid w:val="07051946"/>
    <w:rsid w:val="07063969"/>
    <w:rsid w:val="073C2DEF"/>
    <w:rsid w:val="077D6582"/>
    <w:rsid w:val="078B6AA2"/>
    <w:rsid w:val="0790758F"/>
    <w:rsid w:val="07BF0EF8"/>
    <w:rsid w:val="07CF2D27"/>
    <w:rsid w:val="082C0562"/>
    <w:rsid w:val="08402365"/>
    <w:rsid w:val="084E65FA"/>
    <w:rsid w:val="08707713"/>
    <w:rsid w:val="08816CE2"/>
    <w:rsid w:val="08A05EB3"/>
    <w:rsid w:val="08AE43CD"/>
    <w:rsid w:val="08BB3176"/>
    <w:rsid w:val="08EC7634"/>
    <w:rsid w:val="08F76D0A"/>
    <w:rsid w:val="090506A2"/>
    <w:rsid w:val="0927133D"/>
    <w:rsid w:val="09284988"/>
    <w:rsid w:val="097C03AC"/>
    <w:rsid w:val="098F5D9D"/>
    <w:rsid w:val="09A768B4"/>
    <w:rsid w:val="09DD5C0D"/>
    <w:rsid w:val="0A181C79"/>
    <w:rsid w:val="0A330519"/>
    <w:rsid w:val="0A7A3DAC"/>
    <w:rsid w:val="0ADD2AB1"/>
    <w:rsid w:val="0B1217CC"/>
    <w:rsid w:val="0B2148C5"/>
    <w:rsid w:val="0B271C4E"/>
    <w:rsid w:val="0B3363CF"/>
    <w:rsid w:val="0B3754BA"/>
    <w:rsid w:val="0B4540C8"/>
    <w:rsid w:val="0BA271DB"/>
    <w:rsid w:val="0BAA6BE5"/>
    <w:rsid w:val="0BC379B0"/>
    <w:rsid w:val="0BC973B1"/>
    <w:rsid w:val="0C06460C"/>
    <w:rsid w:val="0C177CB8"/>
    <w:rsid w:val="0C275091"/>
    <w:rsid w:val="0C917C1D"/>
    <w:rsid w:val="0CD464DE"/>
    <w:rsid w:val="0CE93012"/>
    <w:rsid w:val="0CF02574"/>
    <w:rsid w:val="0D083B88"/>
    <w:rsid w:val="0D1631D8"/>
    <w:rsid w:val="0D404A49"/>
    <w:rsid w:val="0D53048B"/>
    <w:rsid w:val="0D6F22A7"/>
    <w:rsid w:val="0D88342F"/>
    <w:rsid w:val="0DD915EE"/>
    <w:rsid w:val="0DE400C2"/>
    <w:rsid w:val="0DFF7FF1"/>
    <w:rsid w:val="0E267826"/>
    <w:rsid w:val="0E4D0935"/>
    <w:rsid w:val="0E5B4E18"/>
    <w:rsid w:val="0E736745"/>
    <w:rsid w:val="0E976EE6"/>
    <w:rsid w:val="0EAE0514"/>
    <w:rsid w:val="0EC76C44"/>
    <w:rsid w:val="0ECA49FE"/>
    <w:rsid w:val="0F073E29"/>
    <w:rsid w:val="0F100AE0"/>
    <w:rsid w:val="0F19066B"/>
    <w:rsid w:val="0F410A21"/>
    <w:rsid w:val="0F8823E1"/>
    <w:rsid w:val="0FB232DA"/>
    <w:rsid w:val="0FB34B46"/>
    <w:rsid w:val="0FC1228E"/>
    <w:rsid w:val="0FF007BD"/>
    <w:rsid w:val="0FFE40C7"/>
    <w:rsid w:val="10193B97"/>
    <w:rsid w:val="1050125A"/>
    <w:rsid w:val="10522445"/>
    <w:rsid w:val="10990A37"/>
    <w:rsid w:val="111534F1"/>
    <w:rsid w:val="11B20DC8"/>
    <w:rsid w:val="12006A71"/>
    <w:rsid w:val="12160594"/>
    <w:rsid w:val="122C78AC"/>
    <w:rsid w:val="127E34D5"/>
    <w:rsid w:val="1298154E"/>
    <w:rsid w:val="129D76BF"/>
    <w:rsid w:val="12CF348D"/>
    <w:rsid w:val="12E07E5E"/>
    <w:rsid w:val="12E668F0"/>
    <w:rsid w:val="12F93A82"/>
    <w:rsid w:val="12F94F97"/>
    <w:rsid w:val="13BF4307"/>
    <w:rsid w:val="14036EC0"/>
    <w:rsid w:val="140F5189"/>
    <w:rsid w:val="145B4ECA"/>
    <w:rsid w:val="147B2F5D"/>
    <w:rsid w:val="14B22F50"/>
    <w:rsid w:val="14DA6CAA"/>
    <w:rsid w:val="14DB5BBA"/>
    <w:rsid w:val="15027242"/>
    <w:rsid w:val="150A04C6"/>
    <w:rsid w:val="151B5FB3"/>
    <w:rsid w:val="15692316"/>
    <w:rsid w:val="15734CEF"/>
    <w:rsid w:val="15C54F66"/>
    <w:rsid w:val="15F00FB5"/>
    <w:rsid w:val="16814B56"/>
    <w:rsid w:val="16854FD8"/>
    <w:rsid w:val="1690685C"/>
    <w:rsid w:val="16932C5D"/>
    <w:rsid w:val="16981A5B"/>
    <w:rsid w:val="16B0661A"/>
    <w:rsid w:val="16F3202E"/>
    <w:rsid w:val="16F71EBD"/>
    <w:rsid w:val="16F76052"/>
    <w:rsid w:val="17A81C07"/>
    <w:rsid w:val="17B31AC4"/>
    <w:rsid w:val="17B849A4"/>
    <w:rsid w:val="18042BF1"/>
    <w:rsid w:val="18117807"/>
    <w:rsid w:val="182B3CA9"/>
    <w:rsid w:val="18461502"/>
    <w:rsid w:val="187237F7"/>
    <w:rsid w:val="187859DE"/>
    <w:rsid w:val="18F17885"/>
    <w:rsid w:val="193E56EF"/>
    <w:rsid w:val="196C6488"/>
    <w:rsid w:val="197001B0"/>
    <w:rsid w:val="1992055C"/>
    <w:rsid w:val="19D55815"/>
    <w:rsid w:val="1A394265"/>
    <w:rsid w:val="1A875802"/>
    <w:rsid w:val="1A9345E3"/>
    <w:rsid w:val="1AF01F84"/>
    <w:rsid w:val="1AF412F5"/>
    <w:rsid w:val="1B1928F7"/>
    <w:rsid w:val="1B3609CD"/>
    <w:rsid w:val="1B392927"/>
    <w:rsid w:val="1BAE0DCF"/>
    <w:rsid w:val="1C0456E1"/>
    <w:rsid w:val="1C27408F"/>
    <w:rsid w:val="1C2852E6"/>
    <w:rsid w:val="1C394F76"/>
    <w:rsid w:val="1C736BB9"/>
    <w:rsid w:val="1CAF169D"/>
    <w:rsid w:val="1CE04862"/>
    <w:rsid w:val="1D5D5243"/>
    <w:rsid w:val="1D7A2D39"/>
    <w:rsid w:val="1D92523F"/>
    <w:rsid w:val="1DA65C44"/>
    <w:rsid w:val="1DB52E9A"/>
    <w:rsid w:val="1DDC2A87"/>
    <w:rsid w:val="1E0572C7"/>
    <w:rsid w:val="1E35524A"/>
    <w:rsid w:val="1E5E33A9"/>
    <w:rsid w:val="1E6673F3"/>
    <w:rsid w:val="1E7A0E0B"/>
    <w:rsid w:val="1E8B4BEA"/>
    <w:rsid w:val="1E992C1E"/>
    <w:rsid w:val="1EB9161C"/>
    <w:rsid w:val="1EE95EF4"/>
    <w:rsid w:val="1EEC1BE5"/>
    <w:rsid w:val="1EF32025"/>
    <w:rsid w:val="1F5B51AB"/>
    <w:rsid w:val="1F70248D"/>
    <w:rsid w:val="1F7C7FAA"/>
    <w:rsid w:val="1F93636D"/>
    <w:rsid w:val="1F994DC8"/>
    <w:rsid w:val="1F9C3A7D"/>
    <w:rsid w:val="1FBC1DAD"/>
    <w:rsid w:val="1FF75632"/>
    <w:rsid w:val="200A7526"/>
    <w:rsid w:val="202A6B34"/>
    <w:rsid w:val="202B02A5"/>
    <w:rsid w:val="205039B1"/>
    <w:rsid w:val="20B77753"/>
    <w:rsid w:val="20D0175D"/>
    <w:rsid w:val="20FA71F2"/>
    <w:rsid w:val="21412E58"/>
    <w:rsid w:val="214B4EEE"/>
    <w:rsid w:val="216F33B4"/>
    <w:rsid w:val="22125D1A"/>
    <w:rsid w:val="226F6DC6"/>
    <w:rsid w:val="22D34D5B"/>
    <w:rsid w:val="2344192D"/>
    <w:rsid w:val="235C4FB0"/>
    <w:rsid w:val="235E615F"/>
    <w:rsid w:val="23E345AA"/>
    <w:rsid w:val="23EB4462"/>
    <w:rsid w:val="2428182A"/>
    <w:rsid w:val="242D3664"/>
    <w:rsid w:val="24547610"/>
    <w:rsid w:val="24EA2D49"/>
    <w:rsid w:val="24FE2625"/>
    <w:rsid w:val="25200E16"/>
    <w:rsid w:val="2524417D"/>
    <w:rsid w:val="25406232"/>
    <w:rsid w:val="254D6AFB"/>
    <w:rsid w:val="25742732"/>
    <w:rsid w:val="25C34621"/>
    <w:rsid w:val="25E42BC2"/>
    <w:rsid w:val="261D6C98"/>
    <w:rsid w:val="266251A0"/>
    <w:rsid w:val="26A83148"/>
    <w:rsid w:val="26E734CE"/>
    <w:rsid w:val="272846F1"/>
    <w:rsid w:val="273F5CA1"/>
    <w:rsid w:val="2742012F"/>
    <w:rsid w:val="27581E1A"/>
    <w:rsid w:val="275E7D55"/>
    <w:rsid w:val="279D2053"/>
    <w:rsid w:val="27A22810"/>
    <w:rsid w:val="27A31911"/>
    <w:rsid w:val="27A97DE3"/>
    <w:rsid w:val="27E777AE"/>
    <w:rsid w:val="27F018B0"/>
    <w:rsid w:val="27F73690"/>
    <w:rsid w:val="28041684"/>
    <w:rsid w:val="281E64EA"/>
    <w:rsid w:val="28230DC5"/>
    <w:rsid w:val="284F2E7B"/>
    <w:rsid w:val="2892625B"/>
    <w:rsid w:val="28BB799E"/>
    <w:rsid w:val="28BE1A4A"/>
    <w:rsid w:val="28C32DF1"/>
    <w:rsid w:val="28D947ED"/>
    <w:rsid w:val="28DA5D7C"/>
    <w:rsid w:val="290C32CA"/>
    <w:rsid w:val="293F52EA"/>
    <w:rsid w:val="29633A8D"/>
    <w:rsid w:val="297C5AFF"/>
    <w:rsid w:val="29842254"/>
    <w:rsid w:val="29C51FB0"/>
    <w:rsid w:val="29FE1686"/>
    <w:rsid w:val="2A9F7442"/>
    <w:rsid w:val="2ABA2EA5"/>
    <w:rsid w:val="2ADC06FF"/>
    <w:rsid w:val="2B053AD9"/>
    <w:rsid w:val="2B0B3FD4"/>
    <w:rsid w:val="2B13647E"/>
    <w:rsid w:val="2B2624C3"/>
    <w:rsid w:val="2B3912C1"/>
    <w:rsid w:val="2B3C64C7"/>
    <w:rsid w:val="2B5365D2"/>
    <w:rsid w:val="2B754D9E"/>
    <w:rsid w:val="2BA77B4E"/>
    <w:rsid w:val="2BA8786B"/>
    <w:rsid w:val="2BAB75E6"/>
    <w:rsid w:val="2BB47AC0"/>
    <w:rsid w:val="2BB94857"/>
    <w:rsid w:val="2BD403DC"/>
    <w:rsid w:val="2BDB5B1F"/>
    <w:rsid w:val="2C017703"/>
    <w:rsid w:val="2C227585"/>
    <w:rsid w:val="2C5F7967"/>
    <w:rsid w:val="2C630447"/>
    <w:rsid w:val="2CE63A5E"/>
    <w:rsid w:val="2CF74994"/>
    <w:rsid w:val="2D6177E6"/>
    <w:rsid w:val="2D951151"/>
    <w:rsid w:val="2D99063D"/>
    <w:rsid w:val="2DB76C92"/>
    <w:rsid w:val="2DBB4258"/>
    <w:rsid w:val="2DD868D1"/>
    <w:rsid w:val="2E110831"/>
    <w:rsid w:val="2E164823"/>
    <w:rsid w:val="2E7C5694"/>
    <w:rsid w:val="2ED37B49"/>
    <w:rsid w:val="2EE50A4F"/>
    <w:rsid w:val="2EEC174F"/>
    <w:rsid w:val="2F061B65"/>
    <w:rsid w:val="2F9F4E94"/>
    <w:rsid w:val="2FBA4CE1"/>
    <w:rsid w:val="2FBD5A3D"/>
    <w:rsid w:val="303A5616"/>
    <w:rsid w:val="303C4E74"/>
    <w:rsid w:val="3050435C"/>
    <w:rsid w:val="30915D17"/>
    <w:rsid w:val="30BD6A4F"/>
    <w:rsid w:val="30C42DBA"/>
    <w:rsid w:val="30D031C1"/>
    <w:rsid w:val="30F77203"/>
    <w:rsid w:val="311A6291"/>
    <w:rsid w:val="31290C66"/>
    <w:rsid w:val="31310F60"/>
    <w:rsid w:val="313F1519"/>
    <w:rsid w:val="314A2606"/>
    <w:rsid w:val="31845C54"/>
    <w:rsid w:val="319003B5"/>
    <w:rsid w:val="31EF57E4"/>
    <w:rsid w:val="322776DD"/>
    <w:rsid w:val="324E6AA3"/>
    <w:rsid w:val="332471E8"/>
    <w:rsid w:val="333A5CE2"/>
    <w:rsid w:val="339139E2"/>
    <w:rsid w:val="33AB256A"/>
    <w:rsid w:val="33B80143"/>
    <w:rsid w:val="33BE1819"/>
    <w:rsid w:val="33F44D1B"/>
    <w:rsid w:val="34046BAC"/>
    <w:rsid w:val="343B0849"/>
    <w:rsid w:val="345E36AC"/>
    <w:rsid w:val="34787B94"/>
    <w:rsid w:val="34A204F0"/>
    <w:rsid w:val="34B223AF"/>
    <w:rsid w:val="34E714FE"/>
    <w:rsid w:val="350264D0"/>
    <w:rsid w:val="350C00EC"/>
    <w:rsid w:val="35165884"/>
    <w:rsid w:val="353B7BAD"/>
    <w:rsid w:val="354A2CA1"/>
    <w:rsid w:val="355E712B"/>
    <w:rsid w:val="35715346"/>
    <w:rsid w:val="357502C4"/>
    <w:rsid w:val="3587095B"/>
    <w:rsid w:val="35963C60"/>
    <w:rsid w:val="35D34011"/>
    <w:rsid w:val="36420BE8"/>
    <w:rsid w:val="365964FF"/>
    <w:rsid w:val="36B30B95"/>
    <w:rsid w:val="36DF4395"/>
    <w:rsid w:val="36F61348"/>
    <w:rsid w:val="372A5197"/>
    <w:rsid w:val="378D0DEA"/>
    <w:rsid w:val="379C497A"/>
    <w:rsid w:val="37A50701"/>
    <w:rsid w:val="37A610A5"/>
    <w:rsid w:val="37DC4962"/>
    <w:rsid w:val="38D66B6A"/>
    <w:rsid w:val="393B6B00"/>
    <w:rsid w:val="39513C70"/>
    <w:rsid w:val="39C54D19"/>
    <w:rsid w:val="39CA2866"/>
    <w:rsid w:val="39D8346F"/>
    <w:rsid w:val="39E52547"/>
    <w:rsid w:val="3A0B40F6"/>
    <w:rsid w:val="3A4D25CD"/>
    <w:rsid w:val="3ABC189E"/>
    <w:rsid w:val="3AD50019"/>
    <w:rsid w:val="3AFD5B81"/>
    <w:rsid w:val="3B011505"/>
    <w:rsid w:val="3B061E88"/>
    <w:rsid w:val="3B092EB2"/>
    <w:rsid w:val="3B172B1E"/>
    <w:rsid w:val="3B233EA2"/>
    <w:rsid w:val="3B3B0338"/>
    <w:rsid w:val="3BD93C6D"/>
    <w:rsid w:val="3BDA4F47"/>
    <w:rsid w:val="3BFE0B0B"/>
    <w:rsid w:val="3C0F1442"/>
    <w:rsid w:val="3C4A52B1"/>
    <w:rsid w:val="3C5160D3"/>
    <w:rsid w:val="3C581AF6"/>
    <w:rsid w:val="3C5E55E3"/>
    <w:rsid w:val="3C7172B5"/>
    <w:rsid w:val="3C7A6C12"/>
    <w:rsid w:val="3C9F4FAC"/>
    <w:rsid w:val="3CD54535"/>
    <w:rsid w:val="3CEE001C"/>
    <w:rsid w:val="3CEE6CC7"/>
    <w:rsid w:val="3CF44AD0"/>
    <w:rsid w:val="3D421618"/>
    <w:rsid w:val="3D6C1F74"/>
    <w:rsid w:val="3D7033B9"/>
    <w:rsid w:val="3D76072E"/>
    <w:rsid w:val="3D7F466D"/>
    <w:rsid w:val="3DF642AF"/>
    <w:rsid w:val="3E1620E1"/>
    <w:rsid w:val="3E550199"/>
    <w:rsid w:val="3E6778A9"/>
    <w:rsid w:val="3EC44EAE"/>
    <w:rsid w:val="3EF655C4"/>
    <w:rsid w:val="3F0A3613"/>
    <w:rsid w:val="3F4C5ED2"/>
    <w:rsid w:val="3F4E6289"/>
    <w:rsid w:val="3F7A3B4B"/>
    <w:rsid w:val="3F9B58EA"/>
    <w:rsid w:val="3FB33C18"/>
    <w:rsid w:val="400C02CD"/>
    <w:rsid w:val="40147871"/>
    <w:rsid w:val="40593B30"/>
    <w:rsid w:val="40B101A1"/>
    <w:rsid w:val="40DF11B7"/>
    <w:rsid w:val="40F44F25"/>
    <w:rsid w:val="412674F3"/>
    <w:rsid w:val="41271828"/>
    <w:rsid w:val="415123EB"/>
    <w:rsid w:val="418B70E1"/>
    <w:rsid w:val="41AC2038"/>
    <w:rsid w:val="41CC149B"/>
    <w:rsid w:val="41E02B59"/>
    <w:rsid w:val="4201692C"/>
    <w:rsid w:val="42057F50"/>
    <w:rsid w:val="421B4724"/>
    <w:rsid w:val="422C1C27"/>
    <w:rsid w:val="425A594E"/>
    <w:rsid w:val="42A94209"/>
    <w:rsid w:val="42C75560"/>
    <w:rsid w:val="432F57DE"/>
    <w:rsid w:val="433B0A0A"/>
    <w:rsid w:val="436314FD"/>
    <w:rsid w:val="43656694"/>
    <w:rsid w:val="43703A8E"/>
    <w:rsid w:val="43767109"/>
    <w:rsid w:val="43AF4F42"/>
    <w:rsid w:val="44110954"/>
    <w:rsid w:val="441C5B9D"/>
    <w:rsid w:val="44337D95"/>
    <w:rsid w:val="446248DF"/>
    <w:rsid w:val="44772B96"/>
    <w:rsid w:val="45001C15"/>
    <w:rsid w:val="45196800"/>
    <w:rsid w:val="453F48E7"/>
    <w:rsid w:val="454C444A"/>
    <w:rsid w:val="45A66210"/>
    <w:rsid w:val="45CA61F4"/>
    <w:rsid w:val="46042D21"/>
    <w:rsid w:val="4640456E"/>
    <w:rsid w:val="46537235"/>
    <w:rsid w:val="46AA51B4"/>
    <w:rsid w:val="471D293C"/>
    <w:rsid w:val="47257E97"/>
    <w:rsid w:val="47803758"/>
    <w:rsid w:val="479C2BFD"/>
    <w:rsid w:val="47D01977"/>
    <w:rsid w:val="47D566A4"/>
    <w:rsid w:val="481D72B4"/>
    <w:rsid w:val="48222E98"/>
    <w:rsid w:val="483D1894"/>
    <w:rsid w:val="484418D6"/>
    <w:rsid w:val="485A4750"/>
    <w:rsid w:val="486C7EBA"/>
    <w:rsid w:val="4895575D"/>
    <w:rsid w:val="48AF1065"/>
    <w:rsid w:val="48B5051C"/>
    <w:rsid w:val="48D63AFC"/>
    <w:rsid w:val="496A2251"/>
    <w:rsid w:val="49846C31"/>
    <w:rsid w:val="49BB4D7B"/>
    <w:rsid w:val="49E22041"/>
    <w:rsid w:val="49F65635"/>
    <w:rsid w:val="4A2747B5"/>
    <w:rsid w:val="4A646C09"/>
    <w:rsid w:val="4A6A625B"/>
    <w:rsid w:val="4A9A42C7"/>
    <w:rsid w:val="4AA8038D"/>
    <w:rsid w:val="4AAD789D"/>
    <w:rsid w:val="4B120395"/>
    <w:rsid w:val="4B3A48C5"/>
    <w:rsid w:val="4B630DE2"/>
    <w:rsid w:val="4B6B10A8"/>
    <w:rsid w:val="4BC92EA2"/>
    <w:rsid w:val="4BC932F0"/>
    <w:rsid w:val="4BDC449A"/>
    <w:rsid w:val="4BF41AE9"/>
    <w:rsid w:val="4CC54975"/>
    <w:rsid w:val="4CD71760"/>
    <w:rsid w:val="4CFA2218"/>
    <w:rsid w:val="4CFB6313"/>
    <w:rsid w:val="4D04165B"/>
    <w:rsid w:val="4D16516C"/>
    <w:rsid w:val="4D7E239B"/>
    <w:rsid w:val="4D8C73B7"/>
    <w:rsid w:val="4DA14C81"/>
    <w:rsid w:val="4DA609F9"/>
    <w:rsid w:val="4DAB6118"/>
    <w:rsid w:val="4DDC45A0"/>
    <w:rsid w:val="4E10201C"/>
    <w:rsid w:val="4E23736A"/>
    <w:rsid w:val="4E4378BA"/>
    <w:rsid w:val="4E515D42"/>
    <w:rsid w:val="4E905574"/>
    <w:rsid w:val="4EE93CE1"/>
    <w:rsid w:val="4F4A7370"/>
    <w:rsid w:val="4FAC75AB"/>
    <w:rsid w:val="500B6FA0"/>
    <w:rsid w:val="50461420"/>
    <w:rsid w:val="50B923FB"/>
    <w:rsid w:val="50C70DE3"/>
    <w:rsid w:val="51062C1D"/>
    <w:rsid w:val="511F2484"/>
    <w:rsid w:val="513C7F7A"/>
    <w:rsid w:val="513E3C37"/>
    <w:rsid w:val="517C1614"/>
    <w:rsid w:val="51F72E46"/>
    <w:rsid w:val="521F6934"/>
    <w:rsid w:val="525D17C4"/>
    <w:rsid w:val="52734456"/>
    <w:rsid w:val="52821B46"/>
    <w:rsid w:val="52D92E18"/>
    <w:rsid w:val="52FB67C6"/>
    <w:rsid w:val="530B40CD"/>
    <w:rsid w:val="532F4929"/>
    <w:rsid w:val="536870BC"/>
    <w:rsid w:val="536E1AF0"/>
    <w:rsid w:val="537F20EE"/>
    <w:rsid w:val="53AE0175"/>
    <w:rsid w:val="53CB2ADD"/>
    <w:rsid w:val="53D27487"/>
    <w:rsid w:val="53DA091B"/>
    <w:rsid w:val="53DD3482"/>
    <w:rsid w:val="54262627"/>
    <w:rsid w:val="5459141D"/>
    <w:rsid w:val="546469DA"/>
    <w:rsid w:val="5467140F"/>
    <w:rsid w:val="54953438"/>
    <w:rsid w:val="54BF549C"/>
    <w:rsid w:val="54CB083F"/>
    <w:rsid w:val="54EF6E66"/>
    <w:rsid w:val="5503093B"/>
    <w:rsid w:val="557336D7"/>
    <w:rsid w:val="559451EE"/>
    <w:rsid w:val="55C73B6D"/>
    <w:rsid w:val="55E46E45"/>
    <w:rsid w:val="565C4F82"/>
    <w:rsid w:val="567C380A"/>
    <w:rsid w:val="56890E23"/>
    <w:rsid w:val="56917041"/>
    <w:rsid w:val="56E361A1"/>
    <w:rsid w:val="571C4410"/>
    <w:rsid w:val="573C730E"/>
    <w:rsid w:val="574A669D"/>
    <w:rsid w:val="57557748"/>
    <w:rsid w:val="578A18AE"/>
    <w:rsid w:val="57DC32E4"/>
    <w:rsid w:val="582959B3"/>
    <w:rsid w:val="584E3B7D"/>
    <w:rsid w:val="58625D1F"/>
    <w:rsid w:val="58637891"/>
    <w:rsid w:val="586A49AE"/>
    <w:rsid w:val="58853A30"/>
    <w:rsid w:val="58870789"/>
    <w:rsid w:val="589056A9"/>
    <w:rsid w:val="58A77982"/>
    <w:rsid w:val="58BC7DD1"/>
    <w:rsid w:val="59A86B97"/>
    <w:rsid w:val="59B13B91"/>
    <w:rsid w:val="59C24277"/>
    <w:rsid w:val="59D80EFE"/>
    <w:rsid w:val="5A090E50"/>
    <w:rsid w:val="5A3321EF"/>
    <w:rsid w:val="5A712B02"/>
    <w:rsid w:val="5A815FFE"/>
    <w:rsid w:val="5AC92F2E"/>
    <w:rsid w:val="5AD0180F"/>
    <w:rsid w:val="5B46721B"/>
    <w:rsid w:val="5B8B3128"/>
    <w:rsid w:val="5B8C48EE"/>
    <w:rsid w:val="5C911439"/>
    <w:rsid w:val="5C922F54"/>
    <w:rsid w:val="5CC2591A"/>
    <w:rsid w:val="5CCC195C"/>
    <w:rsid w:val="5CD42DAC"/>
    <w:rsid w:val="5CFF677E"/>
    <w:rsid w:val="5D1F6E19"/>
    <w:rsid w:val="5D317020"/>
    <w:rsid w:val="5DA73785"/>
    <w:rsid w:val="5DB013D5"/>
    <w:rsid w:val="5DD429B4"/>
    <w:rsid w:val="5E035C90"/>
    <w:rsid w:val="5E0B3D69"/>
    <w:rsid w:val="5E0C3C17"/>
    <w:rsid w:val="5E0E38AE"/>
    <w:rsid w:val="5E4D2B5F"/>
    <w:rsid w:val="5E502124"/>
    <w:rsid w:val="5E620C03"/>
    <w:rsid w:val="5E717EF2"/>
    <w:rsid w:val="5E9377E0"/>
    <w:rsid w:val="5EEF5527"/>
    <w:rsid w:val="5EFB6A07"/>
    <w:rsid w:val="5F137B74"/>
    <w:rsid w:val="5F2A69E3"/>
    <w:rsid w:val="5F360C70"/>
    <w:rsid w:val="5F3D4EC2"/>
    <w:rsid w:val="5F4174DF"/>
    <w:rsid w:val="5FBE4D3F"/>
    <w:rsid w:val="5FF424E7"/>
    <w:rsid w:val="605D368A"/>
    <w:rsid w:val="605F40EE"/>
    <w:rsid w:val="60A74CB1"/>
    <w:rsid w:val="60BB3316"/>
    <w:rsid w:val="61166571"/>
    <w:rsid w:val="61484AA4"/>
    <w:rsid w:val="61697D83"/>
    <w:rsid w:val="61AC4547"/>
    <w:rsid w:val="622264EB"/>
    <w:rsid w:val="62243840"/>
    <w:rsid w:val="62E95453"/>
    <w:rsid w:val="63216F8F"/>
    <w:rsid w:val="63545624"/>
    <w:rsid w:val="639F5ABA"/>
    <w:rsid w:val="63EB35BE"/>
    <w:rsid w:val="64037ACF"/>
    <w:rsid w:val="642C7E4E"/>
    <w:rsid w:val="6454132F"/>
    <w:rsid w:val="6469664A"/>
    <w:rsid w:val="646D22F1"/>
    <w:rsid w:val="64943094"/>
    <w:rsid w:val="64AA0DCA"/>
    <w:rsid w:val="652637D5"/>
    <w:rsid w:val="652A7D56"/>
    <w:rsid w:val="653919EE"/>
    <w:rsid w:val="6559403A"/>
    <w:rsid w:val="657506F9"/>
    <w:rsid w:val="65923136"/>
    <w:rsid w:val="65A22EE7"/>
    <w:rsid w:val="65BB67B7"/>
    <w:rsid w:val="6600552C"/>
    <w:rsid w:val="66180107"/>
    <w:rsid w:val="66181225"/>
    <w:rsid w:val="661A705F"/>
    <w:rsid w:val="66266494"/>
    <w:rsid w:val="665A0818"/>
    <w:rsid w:val="666445E9"/>
    <w:rsid w:val="66787C89"/>
    <w:rsid w:val="668E64BB"/>
    <w:rsid w:val="671C125D"/>
    <w:rsid w:val="672F5B22"/>
    <w:rsid w:val="67900E59"/>
    <w:rsid w:val="67A76354"/>
    <w:rsid w:val="67C1732D"/>
    <w:rsid w:val="67D50614"/>
    <w:rsid w:val="683B5AC0"/>
    <w:rsid w:val="68690559"/>
    <w:rsid w:val="68F75C5E"/>
    <w:rsid w:val="69244B83"/>
    <w:rsid w:val="694B5DC9"/>
    <w:rsid w:val="695E6F58"/>
    <w:rsid w:val="69CA0A81"/>
    <w:rsid w:val="69CB4ABA"/>
    <w:rsid w:val="6A04693D"/>
    <w:rsid w:val="6A4E09DC"/>
    <w:rsid w:val="6A504B19"/>
    <w:rsid w:val="6A685209"/>
    <w:rsid w:val="6A8071EA"/>
    <w:rsid w:val="6ABA03E8"/>
    <w:rsid w:val="6AEA2F89"/>
    <w:rsid w:val="6B304417"/>
    <w:rsid w:val="6B506BFC"/>
    <w:rsid w:val="6B7423DB"/>
    <w:rsid w:val="6B781F33"/>
    <w:rsid w:val="6BA866F7"/>
    <w:rsid w:val="6BAE515B"/>
    <w:rsid w:val="6BF54EFB"/>
    <w:rsid w:val="6BF62AC5"/>
    <w:rsid w:val="6C0D6F34"/>
    <w:rsid w:val="6C9D20E3"/>
    <w:rsid w:val="6CE57D4C"/>
    <w:rsid w:val="6CFC7894"/>
    <w:rsid w:val="6D226BEC"/>
    <w:rsid w:val="6D333482"/>
    <w:rsid w:val="6D4D4500"/>
    <w:rsid w:val="6D63606F"/>
    <w:rsid w:val="6D7656C7"/>
    <w:rsid w:val="6DA75E94"/>
    <w:rsid w:val="6E0968C5"/>
    <w:rsid w:val="6E2367AB"/>
    <w:rsid w:val="6E2B71AA"/>
    <w:rsid w:val="6E327421"/>
    <w:rsid w:val="6E5C0BB5"/>
    <w:rsid w:val="6EA7284F"/>
    <w:rsid w:val="6EE3583B"/>
    <w:rsid w:val="6EFD47D4"/>
    <w:rsid w:val="6F3E1B9E"/>
    <w:rsid w:val="6F513AAE"/>
    <w:rsid w:val="6F5B61BE"/>
    <w:rsid w:val="6F7651AC"/>
    <w:rsid w:val="6F890B21"/>
    <w:rsid w:val="6FBF65FE"/>
    <w:rsid w:val="6FDC2C68"/>
    <w:rsid w:val="6FF21972"/>
    <w:rsid w:val="706B0C2D"/>
    <w:rsid w:val="70867C31"/>
    <w:rsid w:val="70BC7AB2"/>
    <w:rsid w:val="70E356A1"/>
    <w:rsid w:val="70EA7EAB"/>
    <w:rsid w:val="70F6406C"/>
    <w:rsid w:val="70F73448"/>
    <w:rsid w:val="711E690B"/>
    <w:rsid w:val="711F378A"/>
    <w:rsid w:val="71444B78"/>
    <w:rsid w:val="714D41E4"/>
    <w:rsid w:val="7158659D"/>
    <w:rsid w:val="71657421"/>
    <w:rsid w:val="717A6B24"/>
    <w:rsid w:val="71CB0B2B"/>
    <w:rsid w:val="72023B0B"/>
    <w:rsid w:val="72514248"/>
    <w:rsid w:val="72690BB8"/>
    <w:rsid w:val="72767BCC"/>
    <w:rsid w:val="72CE322E"/>
    <w:rsid w:val="72D92ACE"/>
    <w:rsid w:val="73033AB0"/>
    <w:rsid w:val="7319301E"/>
    <w:rsid w:val="73473661"/>
    <w:rsid w:val="734F6D3E"/>
    <w:rsid w:val="738145D7"/>
    <w:rsid w:val="73835F82"/>
    <w:rsid w:val="73CE2AC3"/>
    <w:rsid w:val="73EF034A"/>
    <w:rsid w:val="742F46F2"/>
    <w:rsid w:val="743B33D4"/>
    <w:rsid w:val="74643A73"/>
    <w:rsid w:val="74B61693"/>
    <w:rsid w:val="74C62803"/>
    <w:rsid w:val="74E5428C"/>
    <w:rsid w:val="752E6A70"/>
    <w:rsid w:val="752F1075"/>
    <w:rsid w:val="75352D11"/>
    <w:rsid w:val="753F5F69"/>
    <w:rsid w:val="7571168F"/>
    <w:rsid w:val="75C71E0C"/>
    <w:rsid w:val="75DD5392"/>
    <w:rsid w:val="75DD55B0"/>
    <w:rsid w:val="75DD5683"/>
    <w:rsid w:val="75FA40AF"/>
    <w:rsid w:val="761A7E71"/>
    <w:rsid w:val="762427C3"/>
    <w:rsid w:val="762918D5"/>
    <w:rsid w:val="76384A6F"/>
    <w:rsid w:val="763941E1"/>
    <w:rsid w:val="76926AA0"/>
    <w:rsid w:val="76992EDB"/>
    <w:rsid w:val="770A7403"/>
    <w:rsid w:val="771129D4"/>
    <w:rsid w:val="773C3CA7"/>
    <w:rsid w:val="779E4253"/>
    <w:rsid w:val="77A47961"/>
    <w:rsid w:val="77D22D43"/>
    <w:rsid w:val="77F3127F"/>
    <w:rsid w:val="78256024"/>
    <w:rsid w:val="783C7646"/>
    <w:rsid w:val="78833131"/>
    <w:rsid w:val="78C746DC"/>
    <w:rsid w:val="78E41D7F"/>
    <w:rsid w:val="790C1265"/>
    <w:rsid w:val="792C2EF9"/>
    <w:rsid w:val="79441918"/>
    <w:rsid w:val="794F08C9"/>
    <w:rsid w:val="79A22377"/>
    <w:rsid w:val="79B4628D"/>
    <w:rsid w:val="79F30176"/>
    <w:rsid w:val="7A000582"/>
    <w:rsid w:val="7A1C1196"/>
    <w:rsid w:val="7A273038"/>
    <w:rsid w:val="7A521070"/>
    <w:rsid w:val="7A6666AF"/>
    <w:rsid w:val="7A792D3B"/>
    <w:rsid w:val="7AF16BA2"/>
    <w:rsid w:val="7AFA69CD"/>
    <w:rsid w:val="7AFB0C11"/>
    <w:rsid w:val="7AFB631F"/>
    <w:rsid w:val="7B113380"/>
    <w:rsid w:val="7BBB2051"/>
    <w:rsid w:val="7BD23FF6"/>
    <w:rsid w:val="7C3F094E"/>
    <w:rsid w:val="7C482695"/>
    <w:rsid w:val="7CCC53D2"/>
    <w:rsid w:val="7CFF24F2"/>
    <w:rsid w:val="7D05770E"/>
    <w:rsid w:val="7D413D25"/>
    <w:rsid w:val="7D443890"/>
    <w:rsid w:val="7D6166F7"/>
    <w:rsid w:val="7D686E11"/>
    <w:rsid w:val="7D91263D"/>
    <w:rsid w:val="7D9A36AF"/>
    <w:rsid w:val="7DA00E96"/>
    <w:rsid w:val="7DA757B4"/>
    <w:rsid w:val="7DF2261F"/>
    <w:rsid w:val="7E093136"/>
    <w:rsid w:val="7E2E318E"/>
    <w:rsid w:val="7E8F34B5"/>
    <w:rsid w:val="7EF23F99"/>
    <w:rsid w:val="7F20311E"/>
    <w:rsid w:val="7F7D57EA"/>
    <w:rsid w:val="7F836896"/>
    <w:rsid w:val="7FFB18F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15"/>
    <w:uiPriority w:val="99"/>
    <w:pPr>
      <w:ind w:firstLine="420" w:firstLineChars="100"/>
    </w:pPr>
  </w:style>
  <w:style w:type="paragraph" w:styleId="3">
    <w:name w:val="Body Text"/>
    <w:basedOn w:val="1"/>
    <w:link w:val="14"/>
    <w:uiPriority w:val="99"/>
    <w:rPr>
      <w:rFonts w:ascii="宋体" w:hAnsi="宋体" w:cs="宋体"/>
      <w:sz w:val="32"/>
      <w:szCs w:val="32"/>
      <w:lang w:val="zh-CN"/>
    </w:rPr>
  </w:style>
  <w:style w:type="paragraph" w:styleId="4">
    <w:name w:val="footer"/>
    <w:basedOn w:val="1"/>
    <w:link w:val="16"/>
    <w:uiPriority w:val="99"/>
    <w:pPr>
      <w:tabs>
        <w:tab w:val="center" w:pos="4153"/>
        <w:tab w:val="right" w:pos="8306"/>
      </w:tabs>
      <w:snapToGrid w:val="0"/>
      <w:jc w:val="left"/>
    </w:pPr>
    <w:rPr>
      <w:sz w:val="18"/>
    </w:rPr>
  </w:style>
  <w:style w:type="paragraph" w:styleId="5">
    <w:name w:val="header"/>
    <w:basedOn w:val="1"/>
    <w:link w:val="1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99"/>
    <w:pPr>
      <w:jc w:val="left"/>
    </w:pPr>
    <w:rPr>
      <w:kern w:val="0"/>
      <w:sz w:val="24"/>
    </w:rPr>
  </w:style>
  <w:style w:type="table" w:styleId="8">
    <w:name w:val="Table Grid"/>
    <w:basedOn w:val="7"/>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99"/>
    <w:rPr>
      <w:rFonts w:cs="Times New Roman"/>
      <w:b/>
    </w:rPr>
  </w:style>
  <w:style w:type="character" w:styleId="11">
    <w:name w:val="page number"/>
    <w:basedOn w:val="9"/>
    <w:uiPriority w:val="99"/>
    <w:rPr>
      <w:rFonts w:cs="Times New Roman"/>
    </w:rPr>
  </w:style>
  <w:style w:type="character" w:styleId="12">
    <w:name w:val="FollowedHyperlink"/>
    <w:basedOn w:val="9"/>
    <w:uiPriority w:val="99"/>
    <w:rPr>
      <w:rFonts w:cs="Times New Roman"/>
      <w:color w:val="333333"/>
      <w:u w:val="none"/>
    </w:rPr>
  </w:style>
  <w:style w:type="character" w:styleId="13">
    <w:name w:val="Hyperlink"/>
    <w:basedOn w:val="9"/>
    <w:uiPriority w:val="99"/>
    <w:rPr>
      <w:rFonts w:cs="Times New Roman"/>
      <w:color w:val="333333"/>
      <w:u w:val="none"/>
    </w:rPr>
  </w:style>
  <w:style w:type="character" w:customStyle="1" w:styleId="14">
    <w:name w:val="Body Text Char"/>
    <w:basedOn w:val="9"/>
    <w:link w:val="3"/>
    <w:semiHidden/>
    <w:uiPriority w:val="99"/>
    <w:rPr>
      <w:szCs w:val="24"/>
    </w:rPr>
  </w:style>
  <w:style w:type="character" w:customStyle="1" w:styleId="15">
    <w:name w:val="Body Text First Indent Char"/>
    <w:basedOn w:val="14"/>
    <w:link w:val="2"/>
    <w:semiHidden/>
    <w:uiPriority w:val="99"/>
  </w:style>
  <w:style w:type="character" w:customStyle="1" w:styleId="16">
    <w:name w:val="Footer Char"/>
    <w:basedOn w:val="9"/>
    <w:link w:val="4"/>
    <w:semiHidden/>
    <w:uiPriority w:val="99"/>
    <w:rPr>
      <w:sz w:val="18"/>
      <w:szCs w:val="18"/>
    </w:rPr>
  </w:style>
  <w:style w:type="character" w:customStyle="1" w:styleId="17">
    <w:name w:val="Header Char"/>
    <w:basedOn w:val="9"/>
    <w:link w:val="5"/>
    <w:semiHidden/>
    <w:uiPriority w:val="99"/>
    <w:rPr>
      <w:sz w:val="18"/>
      <w:szCs w:val="18"/>
    </w:rPr>
  </w:style>
  <w:style w:type="paragraph" w:customStyle="1" w:styleId="18">
    <w:name w:val="CM8"/>
    <w:basedOn w:val="1"/>
    <w:next w:val="1"/>
    <w:uiPriority w:val="99"/>
    <w:pPr>
      <w:spacing w:line="526" w:lineRule="atLeast"/>
    </w:pPr>
    <w:rPr>
      <w:rFonts w:ascii="华文琥珀" w:hAnsi="Times New Roman" w:eastAsia="华文琥珀" w:cs="华文琥珀"/>
    </w:rPr>
  </w:style>
  <w:style w:type="paragraph" w:customStyle="1" w:styleId="19">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20">
    <w:name w:val="List Paragraph"/>
    <w:basedOn w:val="1"/>
    <w:qFormat/>
    <w:uiPriority w:val="99"/>
    <w:pPr>
      <w:ind w:firstLine="420" w:firstLineChars="200"/>
    </w:pPr>
  </w:style>
  <w:style w:type="paragraph" w:customStyle="1" w:styleId="21">
    <w:name w:val="Table Paragraph"/>
    <w:basedOn w:val="1"/>
    <w:uiPriority w:val="99"/>
    <w:rPr>
      <w:rFonts w:ascii="仿宋" w:hAnsi="仿宋" w:eastAsia="仿宋" w:cs="仿宋"/>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30</Pages>
  <Words>3106</Words>
  <Characters>17705</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2021-12-14T11:14:00Z</dcterms:created>
  <dc:creator>Administrator</dc:creator>
  <cp:lastModifiedBy>炊烟袅袅</cp:lastModifiedBy>
  <cp:lastPrinted>2021-12-14T11:21:00Z</cp:lastPrinted>
  <dcterms:modified xsi:type="dcterms:W3CDTF">2021-12-15T02:50:10Z</dcterms:modified>
  <dc:title>新郑市2021—2025年</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6BEE1B10C8E04F388A38A7A015D9DA33</vt:lpwstr>
  </property>
</Properties>
</file>