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kern w:val="0"/>
          <w:sz w:val="32"/>
          <w:szCs w:val="32"/>
          <w:lang w:eastAsia="zh-CN"/>
        </w:rPr>
      </w:pPr>
      <w:r>
        <w:rPr>
          <w:rFonts w:hint="default" w:ascii="Times New Roman" w:hAnsi="Times New Roman" w:eastAsia="方正小标宋简体" w:cs="Times New Roman"/>
          <w:sz w:val="44"/>
          <w:szCs w:val="44"/>
        </w:rPr>
        <w:t>关于</w:t>
      </w:r>
      <w:r>
        <w:rPr>
          <w:rFonts w:hint="eastAsia" w:ascii="方正小标宋简体" w:hAnsi="方正小标宋简体" w:eastAsia="方正小标宋简体" w:cs="方正小标宋简体"/>
          <w:sz w:val="44"/>
          <w:szCs w:val="44"/>
          <w:lang w:val="en-US"/>
        </w:rPr>
        <w:t>《</w:t>
      </w:r>
      <w:r>
        <w:rPr>
          <w:rFonts w:hint="eastAsia" w:ascii="方正小标宋简体" w:hAnsi="方正小标宋简体" w:eastAsia="方正小标宋简体" w:cs="方正小标宋简体"/>
          <w:sz w:val="44"/>
          <w:szCs w:val="44"/>
        </w:rPr>
        <w:t>新郑市大招商行动方案新郑市大招商行动考核办法和新郑市招商引资项目引荐人奖励办法</w:t>
      </w:r>
      <w:r>
        <w:rPr>
          <w:rFonts w:hint="eastAsia" w:ascii="方正小标宋简体" w:hAnsi="方正小标宋简体" w:eastAsia="方正小标宋简体" w:cs="方正小标宋简体"/>
          <w:sz w:val="44"/>
          <w:szCs w:val="44"/>
          <w:lang w:val="en-US"/>
        </w:rPr>
        <w:t>》</w:t>
      </w:r>
      <w:r>
        <w:rPr>
          <w:rFonts w:hint="eastAsia" w:ascii="方正小标宋简体" w:hAnsi="方正小标宋简体" w:eastAsia="方正小标宋简体" w:cs="方正小标宋简体"/>
          <w:sz w:val="44"/>
          <w:szCs w:val="44"/>
          <w:lang w:eastAsia="zh-CN"/>
        </w:rPr>
        <w:t>起草说明</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b/>
          <w:bCs/>
          <w:color w:val="auto"/>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一、文件评估论证</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kern w:val="0"/>
          <w:sz w:val="32"/>
          <w:szCs w:val="32"/>
          <w:lang w:val="en" w:eastAsia="zh-CN"/>
        </w:rPr>
      </w:pPr>
      <w:r>
        <w:rPr>
          <w:rFonts w:hint="eastAsia" w:ascii="仿宋_GB2312" w:hAnsi="仿宋_GB2312" w:eastAsia="仿宋_GB2312" w:cs="仿宋_GB2312"/>
          <w:color w:val="auto"/>
          <w:kern w:val="0"/>
          <w:sz w:val="32"/>
          <w:szCs w:val="32"/>
          <w:lang w:eastAsia="zh-CN"/>
        </w:rPr>
        <w:t>（一）起草背景</w:t>
      </w:r>
      <w:r>
        <w:rPr>
          <w:rFonts w:hint="eastAsia" w:ascii="仿宋_GB2312" w:hAnsi="仿宋_GB2312" w:eastAsia="仿宋_GB2312" w:cs="仿宋_GB2312"/>
          <w:color w:val="auto"/>
          <w:kern w:val="0"/>
          <w:sz w:val="32"/>
          <w:szCs w:val="32"/>
          <w:lang w:val="en" w:eastAsia="zh-CN"/>
        </w:rPr>
        <w:t>论证</w:t>
      </w:r>
    </w:p>
    <w:p>
      <w:pPr>
        <w:keepNext w:val="0"/>
        <w:keepLines w:val="0"/>
        <w:pageBreakBefore w:val="0"/>
        <w:widowControl w:val="0"/>
        <w:kinsoku/>
        <w:wordWrap/>
        <w:overflowPunct/>
        <w:topLinePunct w:val="0"/>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w:t>
      </w:r>
      <w:r>
        <w:rPr>
          <w:rFonts w:hint="eastAsia" w:ascii="仿宋_GB2312" w:hAnsi="仿宋_GB2312" w:eastAsia="仿宋_GB2312" w:cs="仿宋_GB2312"/>
          <w:sz w:val="32"/>
          <w:szCs w:val="32"/>
          <w:lang w:eastAsia="zh-CN"/>
        </w:rPr>
        <w:t>我市市</w:t>
      </w:r>
      <w:r>
        <w:rPr>
          <w:rFonts w:hint="eastAsia" w:ascii="仿宋_GB2312" w:hAnsi="仿宋_GB2312" w:eastAsia="仿宋_GB2312" w:cs="仿宋_GB2312"/>
          <w:sz w:val="32"/>
          <w:szCs w:val="32"/>
        </w:rPr>
        <w:t>招商引资各</w:t>
      </w:r>
      <w:bookmarkStart w:id="0" w:name="_GoBack"/>
      <w:bookmarkEnd w:id="0"/>
      <w:r>
        <w:rPr>
          <w:rFonts w:hint="eastAsia" w:ascii="仿宋_GB2312" w:hAnsi="仿宋_GB2312" w:eastAsia="仿宋_GB2312" w:cs="仿宋_GB2312"/>
          <w:sz w:val="32"/>
          <w:szCs w:val="32"/>
        </w:rPr>
        <w:t>项目标任务圆满完成，</w:t>
      </w:r>
      <w:r>
        <w:rPr>
          <w:rFonts w:hint="eastAsia" w:ascii="仿宋_GB2312" w:hAnsi="仿宋_GB2312" w:eastAsia="仿宋_GB2312" w:cs="仿宋_GB2312"/>
          <w:sz w:val="32"/>
          <w:szCs w:val="32"/>
          <w:lang w:eastAsia="zh-CN"/>
        </w:rPr>
        <w:t>按照近年来</w:t>
      </w:r>
      <w:r>
        <w:rPr>
          <w:rFonts w:hint="eastAsia" w:ascii="仿宋_GB2312" w:hAnsi="仿宋_GB2312" w:eastAsia="仿宋_GB2312" w:cs="仿宋_GB2312"/>
          <w:sz w:val="32"/>
          <w:szCs w:val="32"/>
        </w:rPr>
        <w:t>《郑州市</w:t>
      </w:r>
      <w:r>
        <w:rPr>
          <w:rFonts w:hint="eastAsia" w:ascii="仿宋_GB2312" w:hAnsi="仿宋_GB2312" w:eastAsia="仿宋_GB2312" w:cs="仿宋_GB2312"/>
          <w:sz w:val="32"/>
          <w:szCs w:val="32"/>
          <w:lang w:eastAsia="zh-CN"/>
        </w:rPr>
        <w:t>招商引资考核办法</w:t>
      </w:r>
      <w:r>
        <w:rPr>
          <w:rFonts w:hint="eastAsia" w:ascii="仿宋_GB2312" w:hAnsi="仿宋_GB2312" w:eastAsia="仿宋_GB2312" w:cs="仿宋_GB2312"/>
          <w:sz w:val="32"/>
          <w:szCs w:val="32"/>
        </w:rPr>
        <w:t>》中确定的主要指标和重点任务</w:t>
      </w:r>
      <w:r>
        <w:rPr>
          <w:rFonts w:hint="eastAsia" w:ascii="仿宋_GB2312" w:hAnsi="仿宋_GB2312" w:eastAsia="仿宋_GB2312" w:cs="仿宋_GB2312"/>
          <w:sz w:val="32"/>
          <w:szCs w:val="32"/>
          <w:lang w:eastAsia="zh-CN"/>
        </w:rPr>
        <w:t>增长幅度</w:t>
      </w:r>
      <w:r>
        <w:rPr>
          <w:rFonts w:hint="eastAsia" w:ascii="仿宋_GB2312" w:hAnsi="仿宋_GB2312" w:eastAsia="仿宋_GB2312" w:cs="仿宋_GB2312"/>
          <w:sz w:val="32"/>
          <w:szCs w:val="32"/>
        </w:rPr>
        <w:t>，借鉴</w:t>
      </w:r>
      <w:r>
        <w:rPr>
          <w:rFonts w:hint="eastAsia" w:ascii="仿宋_GB2312" w:hAnsi="仿宋_GB2312" w:eastAsia="仿宋_GB2312" w:cs="仿宋_GB2312"/>
          <w:sz w:val="32"/>
          <w:szCs w:val="32"/>
          <w:lang w:eastAsia="zh-CN"/>
        </w:rPr>
        <w:t>昆山、宁波、杭州等地先进做法，</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郑州市春季招商行动方案和</w:t>
      </w:r>
      <w:r>
        <w:rPr>
          <w:rFonts w:hint="eastAsia" w:ascii="仿宋_GB2312" w:hAnsi="仿宋_GB2312" w:eastAsia="仿宋_GB2312" w:cs="仿宋_GB2312"/>
          <w:sz w:val="32"/>
          <w:szCs w:val="32"/>
        </w:rPr>
        <w:t>我市自身情况，将招商任务进行分解</w:t>
      </w:r>
      <w:r>
        <w:rPr>
          <w:rFonts w:hint="eastAsia" w:ascii="仿宋_GB2312" w:hAnsi="仿宋_GB2312" w:eastAsia="仿宋_GB2312" w:cs="仿宋_GB2312"/>
          <w:sz w:val="32"/>
          <w:szCs w:val="32"/>
          <w:lang w:eastAsia="zh-CN"/>
        </w:rPr>
        <w:t>到各乡镇、街道、管委会和市直部门，</w:t>
      </w:r>
      <w:r>
        <w:rPr>
          <w:rFonts w:hint="eastAsia" w:ascii="仿宋_GB2312" w:hAnsi="仿宋_GB2312" w:eastAsia="仿宋_GB2312" w:cs="仿宋_GB2312"/>
          <w:sz w:val="32"/>
          <w:szCs w:val="32"/>
          <w:u w:val="none" w:color="auto"/>
          <w:lang w:eastAsia="zh-CN"/>
        </w:rPr>
        <w:t>在全市营造“全民招商”的氛围，着力引</w:t>
      </w:r>
      <w:r>
        <w:rPr>
          <w:rFonts w:hint="eastAsia" w:ascii="仿宋_GB2312" w:hAnsi="仿宋_GB2312" w:eastAsia="仿宋_GB2312" w:cs="仿宋_GB2312"/>
          <w:sz w:val="32"/>
          <w:szCs w:val="32"/>
          <w:lang w:eastAsia="zh-CN"/>
        </w:rPr>
        <w:t>进一批投资规模大、发展效益好、产业带动强的高质量项目。</w:t>
      </w:r>
    </w:p>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eastAsia="zh-CN"/>
        </w:rPr>
        <w:t>（二）起草依据</w:t>
      </w:r>
      <w:r>
        <w:rPr>
          <w:rFonts w:hint="eastAsia" w:ascii="仿宋_GB2312" w:hAnsi="仿宋_GB2312" w:eastAsia="仿宋_GB2312" w:cs="仿宋_GB2312"/>
          <w:color w:val="auto"/>
          <w:sz w:val="32"/>
          <w:szCs w:val="32"/>
          <w:lang w:val="en" w:eastAsia="zh-CN"/>
        </w:rPr>
        <w:t>论证</w:t>
      </w:r>
    </w:p>
    <w:p>
      <w:pPr>
        <w:keepNext w:val="0"/>
        <w:keepLines w:val="0"/>
        <w:pageBreakBefore w:val="0"/>
        <w:widowControl w:val="0"/>
        <w:kinsoku/>
        <w:wordWrap/>
        <w:overflowPunct/>
        <w:topLinePunct w:val="0"/>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《郑州市人民政府办公厅关于印发2023年郑州市春季招商行动方案的通知 》（郑政办网〔2023〕3号）</w:t>
      </w:r>
    </w:p>
    <w:p>
      <w:pPr>
        <w:keepNext w:val="0"/>
        <w:keepLines w:val="0"/>
        <w:pageBreakBefore w:val="0"/>
        <w:widowControl w:val="0"/>
        <w:kinsoku/>
        <w:wordWrap/>
        <w:overflowPunct/>
        <w:topLinePunct w:val="0"/>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《郑州市人民政府办公厅关于印发2022年郑州市招商引资绩效考核办法的通知》（郑政办</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2022〕44号）</w:t>
      </w:r>
    </w:p>
    <w:p>
      <w:pPr>
        <w:keepNext w:val="0"/>
        <w:keepLines w:val="0"/>
        <w:pageBreakBefore w:val="0"/>
        <w:widowControl w:val="0"/>
        <w:kinsoku/>
        <w:wordWrap/>
        <w:overflowPunct/>
        <w:topLinePunct w:val="0"/>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郑州市人民政府办公厅关于印发郑州市驻外机构“双招双引”专班人员管理办法（试行）的通知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郑政办网〔2023〕4号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郑州市人民政府办公厅关于印发郑州市市场化招商引资工作机制(试行) 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郑政办〔2022〕104号</w:t>
      </w:r>
      <w:r>
        <w:rPr>
          <w:rFonts w:hint="eastAsia" w:ascii="仿宋_GB2312" w:hAnsi="仿宋_GB2312" w:eastAsia="仿宋_GB2312" w:cs="仿宋_GB2312"/>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适用范围</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 w:eastAsia="zh-CN"/>
        </w:rPr>
        <w:t>新郑</w:t>
      </w:r>
      <w:r>
        <w:rPr>
          <w:rFonts w:hint="eastAsia" w:ascii="仿宋_GB2312" w:hAnsi="仿宋_GB2312" w:eastAsia="仿宋_GB2312" w:cs="仿宋_GB2312"/>
          <w:sz w:val="32"/>
          <w:szCs w:val="32"/>
          <w:lang w:eastAsia="zh-CN"/>
        </w:rPr>
        <w:t>市招商引资工作。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黑体" w:hAnsi="黑体" w:eastAsia="黑体" w:cs="黑体"/>
          <w:b w:val="0"/>
          <w:bCs w:val="0"/>
          <w:sz w:val="32"/>
          <w:szCs w:val="32"/>
          <w:lang w:val="en" w:eastAsia="zh-CN"/>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lang w:val="en-US" w:eastAsia="zh-CN"/>
        </w:rPr>
        <w:t>公平竞争审查</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不存在竞争情况。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 w:eastAsia="zh-CN"/>
        </w:rPr>
        <w:t>三、</w:t>
      </w:r>
      <w:r>
        <w:rPr>
          <w:rFonts w:hint="eastAsia" w:ascii="黑体" w:hAnsi="黑体" w:eastAsia="黑体" w:cs="黑体"/>
          <w:b w:val="0"/>
          <w:bCs w:val="0"/>
          <w:sz w:val="32"/>
          <w:szCs w:val="32"/>
          <w:lang w:val="en-US" w:eastAsia="zh-CN"/>
        </w:rPr>
        <w:t>风险评估</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招商工作过程中可能有发生项目评估不准确的风险。</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lang w:eastAsia="zh-CN"/>
        </w:rPr>
        <w:t>听证情况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不需要召开听证会。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黑体" w:hAnsi="黑体" w:eastAsia="黑体" w:cs="黑体"/>
          <w:b w:val="0"/>
          <w:bCs w:val="0"/>
          <w:i w:val="0"/>
          <w:iCs w:val="0"/>
          <w:sz w:val="32"/>
          <w:szCs w:val="32"/>
          <w:lang w:val="en-US" w:eastAsia="zh-CN"/>
        </w:rPr>
      </w:pPr>
      <w:r>
        <w:rPr>
          <w:rFonts w:hint="eastAsia" w:ascii="黑体" w:hAnsi="黑体" w:eastAsia="黑体" w:cs="黑体"/>
          <w:b w:val="0"/>
          <w:bCs w:val="0"/>
          <w:sz w:val="32"/>
          <w:szCs w:val="32"/>
          <w:lang w:eastAsia="zh-CN"/>
        </w:rPr>
        <w:t>五、</w:t>
      </w:r>
      <w:r>
        <w:rPr>
          <w:rFonts w:hint="eastAsia" w:ascii="黑体" w:hAnsi="黑体" w:eastAsia="黑体" w:cs="黑体"/>
          <w:b w:val="0"/>
          <w:bCs w:val="0"/>
          <w:i w:val="0"/>
          <w:iCs w:val="0"/>
          <w:sz w:val="32"/>
          <w:szCs w:val="32"/>
          <w:lang w:val="en-US" w:eastAsia="zh-CN"/>
        </w:rPr>
        <w:t>意见协调处理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2023年3月15日于新郑市联席会议室召开会议研究《新郑市大招商行动方案新郑市大招商行动考核办法和新郑市招商引资项目引荐人奖励办法》起草工作，</w:t>
      </w:r>
      <w:r>
        <w:rPr>
          <w:rFonts w:hint="eastAsia" w:ascii="Times New Roman" w:hAnsi="Times New Roman" w:eastAsia="仿宋_GB2312" w:cs="Times New Roman"/>
          <w:sz w:val="32"/>
          <w:szCs w:val="32"/>
          <w:lang w:val="en-US" w:eastAsia="zh-CN"/>
        </w:rPr>
        <w:t>市经开区、市科工信局、市发改委、市教育局、市财政局、市人社局、市市场监管局、市住建局、市交通局、市城管局、市农委、市文广旅体局、市卫健委、市大数据局、市税务分局、市金融服务中心</w:t>
      </w:r>
      <w:r>
        <w:rPr>
          <w:rFonts w:hint="eastAsia" w:ascii="仿宋_GB2312" w:hAnsi="仿宋_GB2312" w:eastAsia="仿宋_GB2312" w:cs="仿宋_GB2312"/>
          <w:color w:val="auto"/>
          <w:sz w:val="32"/>
          <w:szCs w:val="32"/>
        </w:rPr>
        <w:t>及</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lang w:val="en-US" w:eastAsia="zh-CN"/>
        </w:rPr>
        <w:t>乡（镇）、街道、管委会</w:t>
      </w:r>
      <w:r>
        <w:rPr>
          <w:rFonts w:hint="eastAsia" w:ascii="仿宋_GB2312" w:hAnsi="仿宋_GB2312" w:eastAsia="仿宋_GB2312" w:cs="仿宋_GB2312"/>
          <w:sz w:val="32"/>
          <w:szCs w:val="32"/>
          <w:lang w:val="en-US" w:eastAsia="zh-CN"/>
        </w:rPr>
        <w:t>参会，会上传达了《新郑市大招商行动方案新郑市大招商行动考核办法和新郑市招商引资项目引荐人奖励办法》（征求意见稿），各单位均无意见。</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p>
    <w:sectPr>
      <w:pgSz w:w="11906" w:h="16838"/>
      <w:pgMar w:top="2154"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954BB8"/>
    <w:multiLevelType w:val="singleLevel"/>
    <w:tmpl w:val="FF954BB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1234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Normal Indent"/>
    <w:unhideWhenUsed/>
    <w:qFormat/>
    <w:uiPriority w:val="99"/>
    <w:pPr>
      <w:widowControl w:val="0"/>
      <w:ind w:firstLine="420" w:firstLineChars="200"/>
      <w:jc w:val="both"/>
    </w:pPr>
    <w:rPr>
      <w:rFonts w:ascii="Calibri" w:hAnsi="Calibri" w:eastAsia="宋体" w:cs="黑体"/>
      <w:kern w:val="2"/>
      <w:sz w:val="21"/>
      <w:szCs w:val="22"/>
      <w:lang w:val="en-US" w:eastAsia="zh-CN" w:bidi="ar-SA"/>
    </w:rPr>
  </w:style>
  <w:style w:type="paragraph" w:styleId="3">
    <w:name w:val="Body Text"/>
    <w:next w:val="4"/>
    <w:qFormat/>
    <w:uiPriority w:val="99"/>
    <w:pPr>
      <w:widowControl w:val="0"/>
      <w:jc w:val="both"/>
    </w:pPr>
    <w:rPr>
      <w:rFonts w:ascii="仿宋" w:hAnsi="仿宋" w:eastAsia="仿宋" w:cs="仿宋"/>
      <w:kern w:val="2"/>
      <w:sz w:val="32"/>
      <w:szCs w:val="32"/>
      <w:lang w:val="zh-CN" w:eastAsia="zh-CN" w:bidi="ar-SA"/>
    </w:rPr>
  </w:style>
  <w:style w:type="paragraph" w:styleId="4">
    <w:name w:val="Body Text 2"/>
    <w:qFormat/>
    <w:uiPriority w:val="0"/>
    <w:pPr>
      <w:widowControl w:val="0"/>
      <w:spacing w:after="120" w:afterLines="0" w:line="480" w:lineRule="auto"/>
      <w:jc w:val="both"/>
    </w:pPr>
    <w:rPr>
      <w:rFonts w:ascii="Times New Roman" w:hAnsi="Times New Roman" w:eastAsia="宋体" w:cs="Times New Roman"/>
      <w:kern w:val="2"/>
      <w:sz w:val="21"/>
      <w:szCs w:val="24"/>
      <w:lang w:val="en-US" w:eastAsia="zh-CN" w:bidi="ar-SA"/>
    </w:rPr>
  </w:style>
  <w:style w:type="paragraph" w:styleId="5">
    <w:name w:val="Normal (Web)"/>
    <w:basedOn w:val="1"/>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1431655765</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Administrator</cp:lastModifiedBy>
  <dcterms:modified xsi:type="dcterms:W3CDTF">2023-04-06T07:16:31Z</dcterms:modified>
  <dc:title>关于《新郑市大招商行动方案新郑市大招商行动考核办法和新郑市招商引资项目引荐人奖励办法》起草说明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